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4A_517/2023 vom 13. Februar 2024</w:t>
      </w:r>
    </w:p>
    <w:p>
      <w:r>
        <w:t>Bundesgericht, 2024-02-13, DE</w:t>
      </w:r>
    </w:p>
    <w:p>
      <w:r>
        <w:rPr>
          <w:b/>
        </w:rPr>
        <w:t xml:space="preserve">Quelle: </w:t>
      </w:r>
      <w:r>
        <w:t>https://mcp.opencaselaw.ch/entscheid/bger_4A_517_2023</w:t>
      </w:r>
    </w:p>
    <w:p>
      <w:r>
        <w:t>FR: TF 4A_517/2023 du 13 février 2024</w:t>
      </w:r>
    </w:p>
    <w:p>
      <w:r>
        <w:t>IT: TF 4A_517/2023 del 13 febbraio 2024</w:t>
      </w:r>
    </w:p>
    <w:p>
      <w:pPr>
        <w:pStyle w:val="Heading2"/>
      </w:pPr>
      <w:r>
        <w:t>Erwägungen</w:t>
      </w:r>
    </w:p>
    <w:p>
      <w:r>
        <w:rPr>
          <w:b/>
        </w:rPr>
        <w:t>E. 1.1</w:t>
      </w:r>
    </w:p>
    <w:p>
      <w:r>
        <w:t>Das Bundesgericht prüft von Amtes wegen und mit freier Kognition, ob ein Rechtsmittel zulässig ist ( Art. 29 Abs. 1 BGG ; BGE 145 I 121 E. 1; 143 III 140 E. 1; 141 III 395 E. 2.1).</w:t>
      </w:r>
    </w:p>
    <w:p>
      <w:r>
        <w:t>Die Beschwerde betrifft eine Zivilsache ( Art. 72 BGG ) und richtet sich gegen den Endentscheid ( Art. 90 BGG ) eines oberen kantonalen Gerichts, das als Rechtsmittelinstanz entschieden hat ( Art. 75 BGG ). Der erforderliche Streitwert in arbeitsrechtlichen Fällen von Fr. 15'000.-- ist erreicht ( Art. 74 Abs. 1 lit. a BGG ). Die Beschwerdeführerin ist mit ihren Anträgen unterlegen ( Art. 76 Abs. 1 BGG ). Die Beschwerdefrist ist eingehalten ( Art. 100 Abs. 1 BGG ).</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sie muss einen Antrag in der Sache stellen ( BGE 134 III 379 E. 1.3; 133 III 489 E. 3.1).</w:t>
      </w:r>
    </w:p>
    <w:p>
      <w:r>
        <w:t>Die Beschwerdeführerin weist zutreffend darauf hin, dass ein blosser Rückweisungsantrag ausnahmsweise ausreicht, wenn das Bundesgericht im Falle der Gutheissung der Beschwerde nicht selbst in der Sache entscheiden könnte, weil die erforderlichen Sachverhaltsfeststellungen der Vorinstanz fehlen ( BGE 136 V 131 E. 1.2; 134 III 379 E. 1.3; je mit Hinweisen). Entsprechend stellt die Beschwerdeführerin einen Antrag auf Rückweisung und macht geltend, die Vorinstanzen hätten ihre Beweise zur Schadensposition L.________ AG nicht abgenommen, weshalb das Bundesgericht nicht in der Sache entscheiden könne. Ob die dagegen gerichteten Ausführungen des Beschwerdegegners berechtigt sind, kann offen bleiben. Denn die Beschwerdeführerin stellt aus Gründen der anwaltlichen Sorgfaltspflicht subeventualiter einen reformatorischen Antrag.</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in der Beschwerdeschrift selbst zu erfolgen.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Vorinstanzen qualifizierten die fristlose Kündigung des Beschwerdegegners als ungerechtfertigt. Entsprechend prüften sie, ob die Beschwerdeführerin Anspruch auf Schadenersatz nach Art. 337d OR hat. Dies verneinten sie mit teilweise unterschiedlichen Begründungen für alle behaupteten Schadenspositionen.</w:t>
      </w:r>
    </w:p>
    <w:p>
      <w:r>
        <w:t>Vor Bundesgericht rügt die Beschwerdeführerin nur noch die Abweisung der Schadensposition L.________ AG und hält ihre Klage im Umfang von Fr. 65'450.43 nebst Zins zu 5 % seit 17. September 2020 aufrecht. Zu dieser Summe gelangt sie, indem sie vom behaupteten Schaden von Fr. 102'950.43 die eingesparten Lohnkosten von Fr. 37'500.-- abzieht.</w:t>
      </w:r>
    </w:p>
    <w:p>
      <w:r>
        <w:rPr>
          <w:b/>
        </w:rPr>
        <w:t>E. 3.2</w:t>
      </w:r>
    </w:p>
    <w:p>
      <w:r>
        <w:t>Im erstinstanzlichen Verfahren brachte die Beschwerdeführerin vor, wegen des kurzfristigen Ausfalls des Beschwerdegegners habe sie die L.________ AG mit Buchhaltungs- und Treuhandaufgaben betrauen müssen. Dafür seien 191.18 Stunden zu Fr. 500.-- in Rechnung gestellt worden.</w:t>
      </w:r>
    </w:p>
    <w:p>
      <w:r>
        <w:t>Die Erstinstanz erwog, die Beschwerdeführerin habe es unterlassen, substanziierte Ausführungen zum Stundensatz von Fr. 500.-- zu machen. Sie erwog, die Beschwerdeführerin und die L.________ AG seien personell verbunden. Bei den verrechneten Stunden handle es sich um gewöhnliche Buchhaltungs- und Treuhandarbeiten. Die Beschwerdeführerin habe nicht dargelegt, weshalb ein Stundensatz von Fr. 500.-- angemessen sein solle. Deshalb ging die Erstinstanz von einem maximalen Stundensatz von Fr. 270.-- inklusive MWST aus. Die Erstinstanz erwog weiter, dass bei diesem Stundensatz ein Rechnungsbetrag von Fr. 51'618.60 resultiere, wenn man von der bestrittenen Prämisse ausgehe, dass die Rechnung der L.________ AG tatsächlich Arbeiten betroffen habe, die auf die fristlose Kündigung des Beschwerdegegners zurückzuführen seien. Von diesem Betrag seien die eingesparten Lohnkosten von Fr. 37'500.-- in Abzug zu bringen, sodass ein Betrag von Fr. 14'118.60 brutto verbleibe. Allerdings habe der Beschwerdegegner einen Anspruch auf Ferienentschädigung von Fr. 16'917.60 geltend gemacht, den die Beschwerdeführerin nicht substanziiert bestritten habe. Der Anspruch auf Ferienentschädigung stehe dem hypothetisch berechneten Anspruch der Beschwerdeführerin als Verrechnungsforderung entgegen. Ob die Prämissen, unter denen der Schadenersatzanspruch bestimmt worden sei, tatsächlich zutreffen, könne unter diesen Umständen offenbleiben; ein Beweisverfahren sei obsolet und die Klage abzuweisen.</w:t>
      </w:r>
    </w:p>
    <w:p>
      <w:r>
        <w:rPr>
          <w:b/>
        </w:rPr>
        <w:t>E. 3.3</w:t>
      </w:r>
    </w:p>
    <w:p>
      <w:r>
        <w:t>Im Berufungsverfahren machte die Beschwerdeführerin geltend, die Erstinstanz sei zu Unrecht von einem maximalen Stundensatz von Fr. 270.-- inklusive MWST ausgegangen.</w:t>
      </w:r>
    </w:p>
    <w:p>
      <w:r>
        <w:rPr>
          <w:b/>
        </w:rPr>
        <w:t>E. 3.3.1</w:t>
      </w:r>
    </w:p>
    <w:p>
      <w:r>
        <w:t>Die Vorinstanz erwog, die Angemessenheit des Stundensatzes sei bereits im erstinstanzlichen Verfahren umstritten gewesen. Allerdings gehöre die Angemessenheit des Stundensatzes nicht zum primären Schadensnachweis, sondern sei unter dem Aspekt der Schadenminderungspflicht zu sehen. Dafür trage der Beschwerdegegner die Behauptungs- und Beweislast. Daran würde sich auch nichts ändern, wenn man die Frage davon abweichend als Problem der Schadensberechnung betrachten würde. Es wäre folglich am Beschwerdegegner gelegen, die von ihm behauptete Verletzung der Schadenminderungspflicht durch die Beschwerdeführerin substanziiert zu behaupten, wozu auch Ausführungen zur angemessenen Höhe des Stundensatzes gehört hätten. Selbst eine Schätzung der angemessenen Schadenminderung setze voraus, dass die beweisbelastete Partei sämtliche Tatsachen darlege, die eine solche ermöglichen oder erleichtern. Die Erstinstanz habe Art. 8 ZGB verletzt. Die Rüge der Beschwerdeführerin sei insofern berechtigt. Es sei von einem Stundensatz von Fr. 500.-- auszugehen.</w:t>
      </w:r>
    </w:p>
    <w:p>
      <w:r>
        <w:rPr>
          <w:b/>
        </w:rPr>
        <w:t>E. 3.3.2</w:t>
      </w:r>
    </w:p>
    <w:p>
      <w:r>
        <w:t>In der Folge erwog die Vorinstanz, der höhere Stundensatz von Fr. 500.-- führe nicht ohne Weiteres zur Zulassung des gesamten Betrags, den die L.________ AG in Rechnung gestellt habe. Vielmehr sei zu prüfen, ob auch die weiteren rechtlich relevanten Merkmale der Schadensposition rechtsgenügend substanziiert und nachgewiesen seien.</w:t>
      </w:r>
    </w:p>
    <w:p>
      <w:r>
        <w:t>Die Beschwerdeführerin hatte im Berufungsverfahren geltend gemacht, die L.________ AG habe die Arbeit des Beschwerdegegners erledigen müssen, nämlich die Erstellung der Jahresrechnung, das Kreditorenmanagement, das Debitorenmanagement samt Mahnwesen, die Kassabuchhaltung, die Buchführung, die Lohnbuchhaltung und die Bewirtschaftung des elektronischen Briefkastens. K.________, I.________ und E.________ könnten bei einer Parteibefragung bestätigen, dass sämtliche Rechnungspositionen Arbeiten beträfen, für die der Beschwerdegegner zuständig gewesen wäre. Die Mitarbeiter der L.________ AG hätten nur Arbeiten ausgeführt, die der Beschwerdegegner bis zur Beendigung seines Arbeitsverhältnisses hätte erledigen müssen. Dieser Aufwand wäre nicht notwendig gewesen, wenn der Beschwerdegegner seinen Pflichten bis zum Ablauf der ordentlichen Kündigungsfrist nachgekommen wäre.</w:t>
      </w:r>
    </w:p>
    <w:p>
      <w:r>
        <w:t>Dem hielt die Vorinstanz entgegen, der Beschwerdegegner habe auch bestritten, dass die Mitarbeiter der L.________ AG die verrechneten Arbeiten tatsächlich erledigt hätten. Dafür sei die Beschwerdeführerin behauptungs- und beweispflichtig. Allerdings offeriere sie keine Beweise, womit ihre Darstellung beweislos bleibe und der Schadensposition L.________ AG die Grundlage entzogen sei. Vor diesem Hintergrund könne offen bleiben, ob die verrechneten Arbeiten zum Aufgabenbereich des Beschwerdegegners gehört hätten und ob er sie während der Dauer der ordentlichen Kündigungsfrist hätte ausführen müssen. Auf die beantragte Parteibefragung von K.________, I.________ und E.________, die solches bestätigen sollten, könne verzichtet werden.</w:t>
      </w:r>
    </w:p>
    <w:p>
      <w:r>
        <w:rPr>
          <w:b/>
        </w:rPr>
        <w:t>E. 3.3.3</w:t>
      </w:r>
    </w:p>
    <w:p>
      <w:r>
        <w:t>Gemäss Vorinstanz hätte bei dieser Ausgangslage offen bleiben können, ob die Beschwerdeführerin die Schadensposition L.________ AG hinreichend substanziiert hatte. Im Sinne einer Eventualbegründung hielt die Vorinstanz aber fest, dass die diesbezügliche Kritik des Beschwerdegegners berechtigt sei. Die Beschwerdeführerin habe den Leistungsbeschrieb der Rechnung der L.________ AG vom 16. September 2020 integral in ihre Replik übernommen. Der Leistungsbeschrieb sei weitgehend so abgefasst, dass die einzelnen Positionen abgeglichen werden können mit dem Aufgabenbereich des Beschwerdegegners, wie ihn die Beschwerdeführerin in der Klage behauptet habe. Zudem habe der Beschwerdegegner eigenes Wissen, das ihm die Beurteilung erleichtert habe. So habe er denn auch in der Klageantwort anhand der Rechnung der L.________ AG vom 16. September 2020 die Positionen bestritten, die seiner Ansicht nach nicht seine Arbeit betroffen hätten. Das ändere jedoch nichts daran, dass die Beschreibungen der erbrachten Leistungen in den einzelnen Rechnungspositionen die Tätigkeiten lediglich in allgemeiner Weise sachlich eingrenzen und deshalb die Beurteilung nicht zulassen, ob die nicht spezifizierten konkret geleisteten Arbeiten vom Beschwerdegegner auch tatsächlich bis zum Ablauf der ordentlichen Kündigungsfrist hätten erledigt werden müssen. Dies ist gemäss Vorinstanz insofern relevant, als eine Vermögenseinbusse nur dann als rechtlich relevanter Schaden zu qualifizieren ist, wenn sie ohne das schädigende Ereignis nicht eingetreten wäre. Die Vorinstanz ergänzte, mangels Spezifikation der konkret geleisteten Arbeit sei die Prüfung der Notwendigkeit des Beizugs externer Mitarbeiter und des in Rechnung gestellten Aufwands unmöglich. Der Beschwerdegegner habe bereits in der Klageantwort die von der Beschwerdeführerin geltend gemachten Arbeiten bestritten mit dem Hinweis, dass er zum behaupteten Aufwand nichts sagen könne, weil die auf der Rechnung aufgeführten Arbeiten zu wenig detailliert seien. Gemäss Vorinstanz wäre die Beschwerdeführerin daher gehalten gewesen, den Aufwand der L.________ AG in Ergänzung zum Leistungsverzeichnis so zu konkretisieren, dass die ausgeführten Arbeiten konkret fassbar geworden wären. Lediglich beim Aufwand für die Beendigung des Jahresabschlusses 2019 sei eine weitere Substanziierung unnötig gewesen, da der Beschwerdegegner über deren Bearbeitungsstand im Zeitpunkt seines Ausscheidens selbst im Einzelnen informiert war und daraus die notwendigen Rückschlüsse auch ohne zusätzliche Informationen der Beschwerdeführerin ziehen konnte. Dass die dafür angefallenen Kosten die von der Beschwerdeführerin eingesparten Lohnkosten des Beschwerdegegners im unbestrittenen Betrag von Fr. 37'500.-- überstiegen, ergebe sich aus dem Leistungsverzeichnis der L.________ AG jedoch nicht, weshalb auch unter dem Gesichtspunkt der Substanziierung ein Anspruch der Beschwerdeführerin auf Ersatz der Kosten für den Beizug der L.________ AG durch den Beschwerdegegner im Ergebnis nicht bestehen würde.</w:t>
      </w:r>
    </w:p>
    <w:p>
      <w:r>
        <w:rPr>
          <w:b/>
        </w:rPr>
        <w:t>E. 3.3.4</w:t>
      </w:r>
    </w:p>
    <w:p>
      <w:r>
        <w:t>Mit dieser Begründung wies die Vorinstanz die Klage der Beschwerdeführerin auch mit Blick auf die Schadensposition L.________ AG ab. Ob der Beschwerdegegner einen Anspruch auf Ferienentschädigung zur Verrechnung bringen konnte, liess die Vorinstanz bei diesem Ausgang offen.</w:t>
      </w:r>
    </w:p>
    <w:p>
      <w:r>
        <w:rPr>
          <w:b/>
        </w:rPr>
        <w:t>E. 3.4</w:t>
      </w:r>
    </w:p>
    <w:p>
      <w:r>
        <w:t>Im bundesgerichtlichen Verfahren macht die Beschwerdeführerin eine offensichtlich falsche Sachverhaltsfeststellung und eine Verletzung ihres Anspruchs auf rechtliches Gehör geltend.</w:t>
      </w:r>
    </w:p>
    <w:p>
      <w:r>
        <w:rPr>
          <w:b/>
        </w:rPr>
        <w:t>E. 3.4.1</w:t>
      </w:r>
    </w:p>
    <w:p>
      <w:r>
        <w:t>Die Beschwerdeführerin rügt die vorinstanzliche Feststellung, wonach der Beschwerdegegner rechtzeitig bestritten habe, dass die Mitarbeiter der L.________ AG die verrechneten Arbeiten auch tatsächlich erledigt hatten.</w:t>
      </w:r>
    </w:p>
    <w:p>
      <w:r>
        <w:t>Die Vorinstanz verweist auf Rz. 65 der Klageantwort. Dort hielt der Beschwerdegegner fest, die von der Beschwerdeführerin eingereichte Rechnung der L.________ AG sei zu wenig detailliert, als dass dazu im einzelnen Stellung genommen werden könnte. Indes zeige der Leistungsbeschrieb, dass ein Grossteil der Rechnungspositionen Arbeiten betrifft, die nicht in seinen Aufgabenbereich gefallen seien. Sodann verweist die Vorinstanz auf Rz. 67 der Klageantwort. An jener Stelle hatte der Beschwerdegegner ausgeführt, es sei nicht ausgewiesen, welche einzelnen Arbeiten so dringend hätten ausgeführt werden müssen, dass damit nicht bis zur Einstellung seines Nachfolgers habe zugewartet werden können. Die meisten Arbeiten hätten mutmasslich auch von anderen Mitarbeitern der Beschwerdeführerin ausgeführt werden können. Die Notwendigkeit, Arbeiten extern ausführen zu lassen, werde bestritten. Zudem machte der Beschwerdegegner in Rz. 87-90 der Klageantwort geltend, die Klägerin habe keinen Schaden nachgewiesen. In der Klage werde nicht dargelegt, "welche Arbeiten die beiden IT-Firmen ausgeführt haben". Bei den Arbeiten der L.________ AG fehle eine substanziierte Darlegung der getätigten Arbeiten. Der Beschwerdegegner könne deshalb auch keine detaillierte Stellung dazu nehmen. Die Arbeiten würden "vorliegend generell bestritten". Der Beschwerdegegner schloss mit der Einwendung, die L.________ AG habe praktisch die gleiche Führung wie die Beschwerdeführerin. Es sehe danach aus, "dass hier einfach Vermögen auf eine andere Firma verschoben wurde". Im objektiven Interesse der Beschwerdeführerin sei es sicher nicht gewesen, für alle möglichen Arbeiten externe Personen mit einem Stundenansatz von Fr. 500.-- zu beauftragen.</w:t>
      </w:r>
    </w:p>
    <w:p>
      <w:r>
        <w:t>Vor dem Hintergrund der Ausführungen des Beschwerdegegners in der Klageantwort sind die Rügen der Beschwerdeführerin unbegründet. Die Vorinstanz verfiel nicht in Willkür, indem sie aus den Vorbringen des Beschwerdegegners ableitete, er habe bestritten, dass die Mitarbeiter der L.________ AG die verrechneten Arbeiten auch tatsächlich erledigt hätten. Entgegen den anders lautenden Ausführungen der Beschwerdeführerin ist diese Feststellung zum Prozesssachverhalt nicht "aktenwidrig, falsch und damit willkürlich". Nur schon aus dem Satz des Beschwerdegegners, wonach die Arbeiten "vorliegend generell bestritten" würden, durfte die Vorinstanz willkürfrei ableiten, dass auch die tatsächliche Erbringung der Arbeiten bestritten wurde.</w:t>
      </w:r>
    </w:p>
    <w:p>
      <w:r>
        <w:rPr>
          <w:b/>
        </w:rPr>
        <w:t>E. 3.4.2</w:t>
      </w:r>
    </w:p>
    <w:p>
      <w:r>
        <w:t>Weiter rügt die Beschwerdeführerin, sie habe in Rz. 34 ihrer erstinstanzlichen Replik Beweis dafür angeboten, dass die Arbeiten tatsächlich erbracht worden seien, indem sie die Zeugenbefragung zweier Mitarbeiter der L.________ AG namens M.________ und N.________ angeboten habe. Im Ergebnis macht die Beschwerdeführerin geltend, die Vorinstanz habe ihren Anspruch auf rechtliches Gehör nach Art. 29 Abs. 2 BV verletzt, indem sie auf die Befragung der beiden Zeugen verzichtet habe.</w:t>
      </w:r>
    </w:p>
    <w:p>
      <w:r>
        <w:t>Der Beschwerdeführerin kann nicht gefolgt werden. Unter Geltung des Verhandlungsgrundsatzes haben die Parteien die Tatsachen, auf die sie sich stützen, darzulegen und die entsprechenden Beweismittel frist- und formgerecht anzugeben ( Art. 55 Abs. 1 ZPO ). Von Amtes wegen wird nur Beweis erhoben, wenn an der Richtigkeit einer nicht streitigen Tatsache erhebliche Zweifel bestehen (Art. 153 Abs. 2 i.V.m. Art. 55 Abs. 2 ZPO ). Die Parteien sind grundsätzlich gehalten, erstinstanzlich gestellte Beweisanträge, denen nicht entsprochen wurde, vor der zweiten Instanz zu wiederholen (Urteile 4A_496/2016 vom 8. Dezember 2016 E. 2.2.2; 4A_258/2015 vom 21. Oktober 2015 E. 2.4.2; 5A_660/2014 vom 17. Juni 2015 E. 4.2).</w:t>
      </w:r>
    </w:p>
    <w:p>
      <w:r>
        <w:t>Daran ändern die Ausführungen der Beschwerdeführerin nichts. Sie macht geltend, aufgrund der erstinstanzlichen Feststellungen habe kein Anlass zur Wiederholung der Beweisofferten bestanden. Denn die Erstinstanz habe ausdrücklich festgestellt, dass die Beschwerdeführerin ihrer Behauptungs- und Substantiierungspflicht bei der Schadensposition L.________ AG nachgekommen sei. Ihre Berufung habe sich nur gegen die Reduktion des Stundensatzes und die Zusprechung einer Ferienentschädigung gerichtet. Mit diesem Vorbringen übergeht die Beschwerdeführerin die soeben zitierte bundesgerichtliche Rechtsprechung, wonach eine Partei ihre erstinstanzlich abgelehnten Beweisanträge auch dann wiederholen muss, wenn die Erstinstanz in diesem Punkt zu ihren Gunsten entschieden hat. Es kann aus praktischen Gründen nicht vom Berufungsgericht verlangt werden, dass es die oft umfangreichen erstinstanzlichen Akten nach erstinstanzlich erhobenen, vor zweiter Instanz jedoch nicht erneuerten Beweisanträgen durchforscht. Zudem entspräche dies nicht der Natur des Berufungsverfahrens als eigenständiges Verfahren (vgl. BGE 144 III 394 E. 4.2; 142 III 413 E. 2.2.1 mit Hinweis auf die Botschaft vom 28. Juni 2006 zur Schweizerischen Zivilprozessordnung, BBl 2006 7221, 7374 zu Art. 313 E-ZPO). Die Vorinstanz hat weder Beweisvorschriften verletzt noch den Anspruch der Beschwerdeführerin auf rechtliches Gehör missachtet, indem sie keine Beweise abnahm.</w:t>
      </w:r>
    </w:p>
    <w:p>
      <w:r>
        <w:rPr>
          <w:b/>
        </w:rPr>
        <w:t>E. 3.4.3</w:t>
      </w:r>
    </w:p>
    <w:p>
      <w:r>
        <w:t>Im Übrigen erschöpfen sich die Ausführungen der Beschwerdeführerin in einer unzulässigen appellatorischen Kritik am angefochtenen Entscheid. Dies ist etwa der Fall, wenn sie vorträgt, die L.________ AG habe in 191.18 Stunden die Arbeitsleistung erbracht, welche der Beschwerdegegner während der ordentlichen Kündigungsfrist in 510 Stunden hätte erbringen sollen.</w:t>
      </w:r>
    </w:p>
    <w:p>
      <w:r>
        <w:rPr>
          <w:b/>
        </w:rPr>
        <w:t>E. 3.5</w:t>
      </w:r>
    </w:p>
    <w:p>
      <w:r>
        <w:t>Nach dem Gesagten durfte die Vorinstanz annehmen, dass die Beschwerdeführerin im Berufungsverfahren keine Beweise dafür offeriert hatte, dass die Arbeiten der L.________ AG tatsächlich erbracht wurden. Bei diesem Ausgang musste die Vorinstanz nicht mehr prüfen, ob die Arbeiten überhaupt zum Aufgabenbereich des Beschwerdegegners gehörten.</w:t>
      </w:r>
    </w:p>
    <w:p>
      <w:r>
        <w:rPr>
          <w:b/>
        </w:rPr>
        <w:t>E. 4</w:t>
      </w:r>
    </w:p>
    <w:p>
      <w:r>
        <w:t>Die Beschwerde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