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4A_516/2021 vom 25. November 2021</w:t>
      </w:r>
    </w:p>
    <w:p>
      <w:r>
        <w:t>Bundesgericht, 2021-11-25, DE</w:t>
      </w:r>
    </w:p>
    <w:p>
      <w:r>
        <w:rPr>
          <w:b/>
        </w:rPr>
        <w:t xml:space="preserve">Quelle: </w:t>
      </w:r>
      <w:r>
        <w:t>https://mcp.opencaselaw.ch/entscheid/bger_4A_516_2021</w:t>
      </w:r>
    </w:p>
    <w:p>
      <w:r>
        <w:t>FR: TF 4A_516/2021 du 25 novembre 2021</w:t>
      </w:r>
    </w:p>
    <w:p>
      <w:r>
        <w:t>IT: TF 4A_516/2021 del 25 novembre 2021</w:t>
      </w:r>
    </w:p>
    <w:p>
      <w:pPr>
        <w:pStyle w:val="Heading2"/>
      </w:pPr>
      <w:r>
        <w:t>Erwägungen</w:t>
      </w:r>
    </w:p>
    <w:p>
      <w:r>
        <w:rPr>
          <w:b/>
        </w:rPr>
        <w:t>E. 1.1</w:t>
      </w:r>
    </w:p>
    <w:p>
      <w:r>
        <w:t>Der angefochtene Entscheid des Versicherungsgerichts hat eine Streitigkeit aus einer Zusatzversicherung zur sozialen Krankenversicherung gemäss Art. 7 ZPO zum Gegenstand.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1.2</w:t>
      </w:r>
    </w:p>
    <w:p>
      <w:r>
        <w:t>Die Beschwerdeführerin stellt vor Bundesgericht zwar keinen bezifferten Antrag (vgl. zu diesem Erfordernis BGE 143 III 111 E. 1.2), verlangt aber Gutheissung der Klage. Daraus ergibt sich in Verbindung mit den Feststellungen zum Prozesssachverhalt im angefochtenen Entscheid ohne Weiteres, dass sie weiterhin die Bezahlung von Fr. 25'113.95 und Fr. 5'295.50, je nebst Zins, verlangt. Insoweit steht einem Eintreten auf die Beschwerde nichts entgegen.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Kritisieren die Parteien die vorinstanzliche Beweiswürdigung,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Vor Versicherungsgericht unbestritten war der Taggeldanspruch bis zum 31. Oktober 2018. Uneinigkeit bestand über die Frage, wie es sich mit der Arbeits (un) fähigkeit ab November 2018 verhielt.</w:t>
      </w:r>
    </w:p>
    <w:p>
      <w:r>
        <w:rPr>
          <w:b/>
        </w:rPr>
        <w:t>E. 3.1</w:t>
      </w:r>
    </w:p>
    <w:p>
      <w:r>
        <w:t>Die Vorinstanz erwog, die Versicherte habe die Tatsachen zur Begründung des Versicherungsanspruchs zu beweisen. Dies gelte auch dann, wenn der Versicherer zunächst Taggelder erbracht habe. Mache dieser geltend, die versicherte Person sei wieder arbeitsfähig, trage diese die Beweislast dafür, dass sie (weiterhin) arbeitsunfähig sei. Es gelte das "Beweismass der überwiegenden Wahrscheinlichkeit".</w:t>
      </w:r>
    </w:p>
    <w:p>
      <w:r>
        <w:t>Das Versicherungsgericht kam dabei zum Ergebnis, dass die von der Beschwerdeführerin vorgebrachten Befunde gewisse körperliche Beschwerden als durchaus möglich erscheinen liessen. Sie begründeten aber - so hob die Vorinstanz hervor - nicht ohne Weiteres eine auch nach Oktober 2018 bestehende Arbeitsunfähigkeit. Einzig der Hausarzt Dr. med. D.________ habe der Beschwerdeführerin für diese Zeit eine Arbeitsunfähigkeit attestiert. Indes enthielten seine Arztzeugnisse keine Begründung und namentlich gehe daraus nicht nachvollziehbar hervor, weshalb die Arbeitsfähigkeit auch in adaptierten, körperlich leichten Bürotätigkeiten eingeschränkt sein soll. Mit Blick auf die zahlreichen im Recht liegenden medizinischen Abklärungen und Berichte - das Versicherungsgericht verwies unter anderem auf Beurteilungen von Dr. med. E.________, Dr. med. F.________, Dr. med. G.________, Dr. med. H.________, Dr. med. I.________ sowie auf einen Bericht der Klinik J.________ des Kantonsspitals K.________ - sei eine über Oktober 2018 hinausgehende Arbeitsunfähigkeit nicht "mit dem Beweisgrad der überwiegenden Wahrscheinlichkeit" erstellt.</w:t>
      </w:r>
    </w:p>
    <w:p>
      <w:r>
        <w:rPr>
          <w:b/>
        </w:rPr>
        <w:t>E. 3.2</w:t>
      </w:r>
    </w:p>
    <w:p>
      <w:r>
        <w:t>Die Beschwerdeführerin weist diese - nur unter Willkürgesichtspunkten überprüfbare - Beweiswürdigung nicht als offensichtlich unrichtig aus. Sie greift einzelne Gutachten heraus, die sie anders als die Vorinstanz gewichtet haben möchte, schildert frei ihre Sicht des Krankheitsverlaufs und zählt zahlreiche Diagnosen sowie Beschwerden auf, wobei sie dem Versicherungsgericht vorwirft, die Arbeitsfähigkeit nicht "in der Gesamtschau der multifaktoriellen Gesundheitsstörungen" beurteilt zu haben. Damit belegt sie keine Willkür (siehe Erwägungen 2.2 f.). Soweit sie wiederholt auf eine Stellungnahme von Dr. med. G.________ vom 5. Oktober 2018 verweist, worin dieser eine "dramatische Leistungseinbusse" festgestellt habe, übergeht sie überdies, dass Dr. med. G.________ gerade betonte, eine Arbeitsunfähigkeit sei in somatischer Hinsicht "nicht ausgewiesen".</w:t>
      </w:r>
    </w:p>
    <w:p>
      <w:r>
        <w:t>Ohnehin ist festzuhalten, dass nach der bundesgerichtlichen Rechtsprechung in Versicherungsfällen für den Nachweis der behaupteten Arbeitsunfähigkeit nicht das reduzierte Beweismass der überwiegenden Wahrscheinlichkeit, sondern (entgegen dem Versicherungsgericht und der Beschwerdeführerin) das ordentliche Beweismass der vollen Überzeugung gilt (Urteil 4A_117/2021 vom 31. August 2021 E. 3.3.1, zur Publikation vorgesehen; ferner Urteil 4A_144/2021 vom 13. September 2021 E. 5.2). Umso mehr gilt daher, dass der beweisbelasteten Beschwerdeführerin der Nachweis der Arbeitsunfähigkeit unter dem strengeren, ordentlichen Beweismass nicht gelungen ist.</w:t>
      </w:r>
    </w:p>
    <w:p>
      <w:r>
        <w:rPr>
          <w:b/>
        </w:rPr>
        <w:t>E. 3.3</w:t>
      </w:r>
    </w:p>
    <w:p>
      <w:r>
        <w:t>Ferner erblickt die Beschwerdeführerin im angefochtenen Entscheid eine Verletzung ihres Anspruchs auf rechtliches Gehör ( Art. 29 Abs. 2 BV ) und insbesondere der gerichtlichen Begründungspflicht sowie der Regeln über die antizipierte Beweiswürdigung. Sie macht geltend, die vorinstanzlichen Erwägungen liessen den Rechtssuchenden "einigermassen ratlos" und das Versicherungsgericht habe verschiedene "Tatsachen" nicht gewürdigt. Die Vorwürfe gehen fehl: Zunächst tut die Beschwerdeführerin nicht (mit Aktenhinweisen) dar, dass und an welcher Stelle sie die angeblich übergangenen Umstände schon im vorinstanzlichen Verfahren eingebracht hätte. Sodann scheint sie im Wesentlichen tadeln zu wollen, das Versicherungsgericht habe sich weder mit dem erwähnten, eine "dramatische Leistungseinbusse" attestierenden Privatgutachten von Dr. med. G.________ auseinandergesetzt "noch dieses gewürdigt". Dies trifft jedoch nicht zu (siehe nur die vorinstanzlichen Erwägungen 4.2 sowie 4.5.2 und dort S. 17). Genau besehen begründet die Beschwerdeführerin ihre Kritik damit, dass das Versicherungsgericht aus den ärztlichen Gutachten andere Schlüsse zog, als sie dies tut. Sie beanstandet mithin unter dem Vorwand der Gehörsverletzung die - im Übrigen sorgfältig begründete - Sachverhaltsfeststellung der Vorinstanz, ohne Willkür auszuweisen. Mit einer solchen Argumentation dringt sie nicht durch.</w:t>
      </w:r>
    </w:p>
    <w:p>
      <w:r>
        <w:rPr>
          <w:b/>
        </w:rPr>
        <w:t>E. 4</w:t>
      </w:r>
    </w:p>
    <w:p>
      <w:r>
        <w:t>Die Beschwerde ist abzuweisen, soweit darauf eingetreten werden kann. Bei diesem Ausgang des Verfahrens sind die Gerichtskosten gemäss Art. 66 Abs. 1 BGG der Beschwerdeführerin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