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4A_515/2025 vom 8. Januar 2026</w:t>
      </w:r>
    </w:p>
    <w:p>
      <w:r>
        <w:t>Bundesgericht, 2026-01-08, DE</w:t>
      </w:r>
    </w:p>
    <w:p>
      <w:r>
        <w:rPr>
          <w:b/>
        </w:rPr>
        <w:t xml:space="preserve">Quelle: </w:t>
      </w:r>
      <w:r>
        <w:t>https://mcp.opencaselaw.ch/entscheid/bger_4A_515_2025</w:t>
      </w:r>
    </w:p>
    <w:p>
      <w:r>
        <w:t>FR: TF 4A_515/2025 du 8 janvier 2026</w:t>
      </w:r>
    </w:p>
    <w:p>
      <w:r>
        <w:t>IT: TF 4A_515/2025 del 8 gennaio 2026</w:t>
      </w:r>
    </w:p>
    <w:p>
      <w:pPr>
        <w:pStyle w:val="Heading2"/>
      </w:pPr>
      <w:r>
        <w:t>Erwägungen</w:t>
      </w:r>
    </w:p>
    <w:p>
      <w:r>
        <w:rPr>
          <w:b/>
        </w:rPr>
        <w:t>E. 1</w:t>
      </w:r>
    </w:p>
    <w:p>
      <w:r>
        <w:t>Mit Entscheid vom 7. April 2025 löste die Präsidentin des Bezirksgerichts Baden die Beschwerdeführerin aufgrund eines Mangels in der gesetzlich zwingenden Organisation androhungsgemäss auf und ordnete ihre Liquidation nach den Vorschriften über den Konkurs an. Mit Entscheid vom 26. September 2025 wies das Obergericht des Kantons Aargau die von der Beschwerdeführerin gegen diesen Entscheid erhobene Berufung ab. Mit Eingabe vom 10. Oktober 2025 erklärte die Beschwerdeführerin dem Bundesgericht, das Urteil des Obergerichts des Kantons Aargau vom 26. September 2025 mit Beschwerde anfechten zu wollen. Am 15. Oktober 2025 reichte die Beschwerdeführerin dem Bundesgericht eine weitere Eingabe ein. Es wurden keine Vernehmlassungen eingeholt.</w:t>
      </w:r>
    </w:p>
    <w:p>
      <w:r>
        <w:rPr>
          <w:b/>
        </w:rPr>
        <w:t>E. 2</w:t>
      </w:r>
    </w:p>
    <w:p>
      <w:r>
        <w:t>Das Bundesgericht prüft von Amtes wegen und mit freier Kognition, ob ein Rechtsmittel zulässig ist ( Art. 29 Abs. 1 BGG ; BGE 149 III 277 E. 3.1; 148 IV 155 E. 1.1 ; 145 I 121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 86 E. 2, 115 E. 2).</w:t>
      </w:r>
    </w:p>
    <w:p>
      <w:r>
        <w:rPr>
          <w:b/>
        </w:rPr>
        <w:t>E. 2.2</w:t>
      </w:r>
    </w:p>
    <w:p>
      <w:r>
        <w:t>Das Bundesgericht legt seinem Urteil den Sachverhalt zugrunde, den die Vorinstanz festgestellt hat ( Art. 105 Abs. 1 BGG ). Neue Tatsachen und Beweismittel dürfen nur vorgebracht werden, soweit erst der angefochtene Entscheid dazu Anlass gibt ( Art. 99 Abs. 1 BGG ). Dies gilt jedoch einzig für unechte Noven; echte Noven sind im bundesgerichtlichen Verfahren von vornherein ausgeschlossen ( BGE 148 V 174 E. 2.2; 139 III 120 E. 3.1.2). Will die beschwerdeführende Partei den Sachverhalt ergänzen, hat sie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ihren Eingaben nicht hinreichend mit den Erwägungen des angefochtenen Entscheids des Obergerichts des Kantons Aargau vom 26. September 2025 auseinander und zeigt nicht auf, inwiefern dieser Recht verletzen würde. Vielmehr unterbreitet sie dem Bundesgericht in unzulässiger Weise ihre eigene Sicht der Dinge, ohne eine hinreichende Rüge zu erheben oder aufzuzeigen, inwiefern ihre Sachverhaltsergänzung die hierfür erforderlichen Voraussetzungen erfüllen sollte. Damit verfehlt sie die gesetzlichen Begründungsanforderungen. Entsprechend zielen auch ihre unter Berufung auf Art. 718a Abs. 1 OR i.V.m. Art. 2 lit. c HRegV , Art. 9 und 29 Abs. 2 BV , Art. 138 ZPO , Art. 10 Abs. 1 PBG sowie Art. 12 PZB erhobenen Vorbringen ins Leere. Auf die Beschwerde ist somit im vereinfachten Verfahren nach Art. 108 Abs. 1 lit. b BGG nicht einzutreten.</w:t>
      </w:r>
    </w:p>
    <w:p>
      <w:r>
        <w:rPr>
          <w:b/>
        </w:rPr>
        <w:t>E. 3</w:t>
      </w:r>
    </w:p>
    <w:p>
      <w:r>
        <w:t>Bei diesem Ausgang des Verfahrens wird die Beschwerdeführerin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