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4A_513/2023 vom 4. September 2024</w:t>
      </w:r>
    </w:p>
    <w:p>
      <w:r>
        <w:t>Bundesgericht, 2024-09-04, FR</w:t>
      </w:r>
    </w:p>
    <w:p>
      <w:r>
        <w:rPr>
          <w:b/>
        </w:rPr>
        <w:t xml:space="preserve">Quelle: </w:t>
      </w:r>
      <w:r>
        <w:t>https://mcp.opencaselaw.ch/entscheid/bger_4A_513_2023</w:t>
      </w:r>
    </w:p>
    <w:p>
      <w:r>
        <w:t>FR: TF 4A_513/2023 du 4 septembre 2024</w:t>
      </w:r>
    </w:p>
    <w:p>
      <w:r>
        <w:t>IT: TF 4A_513/2023 del 4 settembre 2024</w:t>
      </w:r>
    </w:p>
    <w:p>
      <w:pPr>
        <w:pStyle w:val="Heading2"/>
      </w:pPr>
      <w:r>
        <w:t>Erwägungen</w:t>
      </w:r>
    </w:p>
    <w:p>
      <w:r>
        <w:rPr>
          <w:b/>
        </w:rPr>
        <w:t>E. 1</w:t>
      </w:r>
    </w:p>
    <w:p>
      <w:r>
        <w:t>Interjeté dans le délai fixé par la loi ( art. 100 al. 1, art. 46 al. 1 let. b et art. 117 LTF ) et dirigé contre une décision finale ( art. 90 et 117 LTF ) rendue sur recours par le tribunal supérieur du canton de Vaud ( art. 75 et 114 LTF ) dans une affaire civile ( art. 72 al. 1 LTF ), le recours porte sur une cause dont la valeur litigieuse est inférieure à 30'000 fr. et ne satisfait donc pas aux conditions du recours en matière civile. La recourante prétend que la cause soulèverait une question juridique de principe ( art. 74 al. 1 let. b, art. 74 al. 2 let. a LTF ).</w:t>
      </w:r>
    </w:p>
    <w:p>
      <w:r>
        <w:t>Elle soutient que la question juridique qu'elle soulève porte sur la qualification juridique du con trat. Elle s'est toutefois vu délivrer un arrêt d'irrecevabilité de son recours par la cour cantonale en raison d'un défaut de motivation fondé sur l' art. 321 al. 1 CPC . La question soumise au Tribunal fédéral est donc celle de la recevabilité du recours présenté à la cour cantonale et non la question au fond, de la qualification du contrat. La recourante ne soutient pas que la recevabilité de son recours soulèverait une question juridique de principe.</w:t>
      </w:r>
    </w:p>
    <w:p>
      <w:r>
        <w:t>Le recours en matière civile est donc irrecevable.</w:t>
      </w:r>
    </w:p>
    <w:p>
      <w:r>
        <w:t>La voie du recours constitutionnel subsidiaire est en principe ouve rte ( art. 113 LTF ).</w:t>
      </w:r>
    </w:p>
    <w:p>
      <w:r>
        <w:rPr>
          <w:b/>
        </w:rPr>
        <w:t>E. 2.1</w:t>
      </w:r>
    </w:p>
    <w:p>
      <w:r>
        <w:t>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139 I 229 consid. 2.2; 134 II 244 consid. 2.2).</w:t>
      </w:r>
    </w:p>
    <w:p>
      <w:r>
        <w:t>Selon la jurisprudence,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w:t>
      </w:r>
    </w:p>
    <w:p>
      <w:r>
        <w:rPr>
          <w:b/>
        </w:rPr>
        <w:t>E. 3</w:t>
      </w:r>
    </w:p>
    <w:p>
      <w:r>
        <w:t>La cour cantonale a déclaré le recours irrecevable, faute pour la recourante d'avoir présenté une critique suffisante de la décision de première instance. La recourante s'était bornée à substituer sa propre appréciation juridique à celle de la Juge de paix, sans critiquer son raisonnement, de sorte que la cour cantonale ne percevait pas les points qui en étaient contestés.</w:t>
      </w:r>
    </w:p>
    <w:p>
      <w:r>
        <w:t>Dans une motivation subsidiaire, la cour cantonale a considéré que, même à considérer le recours recevable, la recourante devait succomber dans ses conclusions. Elle a procédé à l'interprétation du contrat litigieux et est parvenue à la même conclusion que la Juge de paix, de sorte que le recours devait de toute manière être rejeté.</w:t>
      </w:r>
    </w:p>
    <w:p>
      <w:r>
        <w:rPr>
          <w:b/>
        </w:rPr>
        <w:t>E. 4</w:t>
      </w:r>
    </w:p>
    <w:p>
      <w:r>
        <w:t>La décision de la Chambre des recours civile est fondée sur une double motivation, l'une principale, l'autre subsidiaire. La première, principale, conduit à l'irrecevabilité du recours. La seconde, subsidiaire, conduit à son rejet sur le fond.</w:t>
      </w:r>
    </w:p>
    <w:p>
      <w:r>
        <w:rPr>
          <w:b/>
        </w:rPr>
        <w:t>E. 4.1</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136 III 534 consid. 2; ATF 133 IV 119 consid. 6.3).</w:t>
      </w:r>
    </w:p>
    <w:p>
      <w:r>
        <w:rPr>
          <w:b/>
        </w:rPr>
        <w:t>E. 4.2</w:t>
      </w:r>
    </w:p>
    <w:p>
      <w:r>
        <w:t>La recourante présente d'abord sa version des faits sans soutenir que celle retenue par la cour cantonale l'aurait été de façon arbitraire, de sorte qu'il n'en sera pas tenu compte ( art. 106 al. 2 LTF cf. consid. 2.2).</w:t>
      </w:r>
    </w:p>
    <w:p>
      <w:r>
        <w:t>Elle expose ensuite que son recours était recevable, prétendant avoir contesté la décision de la Juge de paix conformément aux exigences légales. Sa démonstration tend à confirmer l'appréciation de la cour cantonale. Elle reprend en effet dans son recours constitutionnel subsidiaire ce qu'elle a exposé devant la cour cantonale, à savoir une motivation juridique devant mener à la qualification du contrat de contrat innomé auquel les règles du mandat ne seraient pas applicables. Devant la cour de céans, la recourante ne démontre pas avoir discuté devant la cour cantonale, la solution retenue par la Juge de paix et critiqué la motivation de celle-ci, mais seulement qu'elle a exposé une argumentation juridique autonome devant mener à la conclusion que le contrat était un contrat</w:t>
      </w:r>
    </w:p>
    <w:p>
      <w:r>
        <w:t>sui generis . Ce faisant, elle ne présente pas une argumentation suffisant à démontrer que la cour cantonale aurait appliqué l' art. 321 CPC de manière arbitraire, de sorte que pour cette raison déjà, son recours constitutionnel subsidiaire est irrecevable.</w:t>
      </w:r>
    </w:p>
    <w:p>
      <w:r>
        <w:t>La recourante ne fait toutefois aucune mention des quelque cinq pages de l'arrêt cantonal, dans lesquelles la cour cantonale expose pourquoi le recours devrait être rejeté même s'il était recevable. La cour cantonale y a pourtant exposé en détail pourquoi, au terme d'une interprétation du contrat fondée sur l' art. 18 al. 1 CO , elle considérait que le contrat litigieux était bien un contrat de mandat. Or la recourante aurait dû s'en prendre également à cette motivation, laquelle est indépendante et subsidiaire à la motivation principale d'irrecevabilité du recours, ce qu'elle n'a pas fait. Son recours constitutionnel subsidiaire est donc irrecevable pour cette raison également.</w:t>
      </w:r>
    </w:p>
    <w:p>
      <w:r>
        <w:rPr>
          <w:b/>
        </w:rPr>
        <w:t>E. 5</w:t>
      </w:r>
    </w:p>
    <w:p>
      <w:r>
        <w:t>Au vu de ce qui précède, le recours en matière civile est irrecevable, de même que le recours constitutionnel subsidiaire. La recourante, qui succombe, prendra à sa charge les frais judiciaires ( art. 66 al. 1 LTF ). L'intimée, qui n'a pas été invitée à se déterminer, ne reçoit pas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