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4A_513/2021 vom 18. März 2022</w:t>
      </w:r>
    </w:p>
    <w:p>
      <w:r>
        <w:t>Bundesgericht, 2022-03-18, DE</w:t>
      </w:r>
    </w:p>
    <w:p>
      <w:r>
        <w:rPr>
          <w:b/>
        </w:rPr>
        <w:t xml:space="preserve">Quelle: </w:t>
      </w:r>
      <w:r>
        <w:t>https://mcp.opencaselaw.ch/entscheid/bger_4A_513_2021</w:t>
      </w:r>
    </w:p>
    <w:p>
      <w:r>
        <w:t>FR: TF 4A_513/2021 du 18 mars 2022</w:t>
      </w:r>
    </w:p>
    <w:p>
      <w:r>
        <w:t>IT: TF 4A_513/2021 del 18 marzo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erwog, die Beschwerdeführerin rüge im Berufungsverfahren im Wesentlichen, die Erstinstanz habe ihre Forderungen aus dem Konkubinatsverhältnis zu Unrecht mangels Substanziierung abgewiesen. Sie bestreite sodann eine von der Erstinstanz dem Beschwerdegegner zugesprochene Forderung betreffend Investition in die Liegenschaft und mache geltend, sie schulde keine Zinsen, da sie diesbezüglich die Verjährungseinrede erhoben habe.</w:t>
      </w:r>
    </w:p>
    <w:p>
      <w:r>
        <w:t>Die Vorinstanz ging im Einzelnen auf diese drei von der Beschwerdeführerin beanstandeten Punkte ein und kam zusammengefasst zum Ergebnis, dass die vorgebrachte Begründ ung der Beschwerdeführerin den Anforderungen von Art. 311 ZPO nicht genüge. Auf die Berufung sei daher mangels genügender Begründung nicht einzutreten.</w:t>
      </w:r>
    </w:p>
    <w:p>
      <w:r>
        <w:rPr>
          <w:b/>
        </w:rPr>
        <w:t>E. 4.1</w:t>
      </w:r>
    </w:p>
    <w:p>
      <w:r>
        <w:t>Dagegen rügt die Beschwerdeführerin vor Bundesgericht im Wesentlichen eine Verletzung von Art. 311 ZPO . Sie präsentiert allerdings bloss appellatorische Kritik, ohne sich hinreichend mit den Erwägungen der Vorinstanz auseinanderzusetzen und ohne rechtsgenüglich aufzuzeigen (Erwägung 2.1), inwiefern die eingehenden Ausführungen der Vorinstanz, wonach die Berufung der Beschwerdeführerin nicht genügend begründet sei, bundesrechtswidrig sein soll.</w:t>
      </w:r>
    </w:p>
    <w:p>
      <w:r>
        <w:rPr>
          <w:b/>
        </w:rPr>
        <w:t>E. 4.2</w:t>
      </w:r>
    </w:p>
    <w:p>
      <w:r>
        <w:t>Die Beschwerdeführerin macht geltend, sie habe vor der Vorinstanz eine "Rechtsverweigerung im Sinne einer Verletzung des rechtlichen Gehörs" gerügt, da eine Rechtsanwendung bzw. eine Liquidation anhand des Konkubinatsvertrags ohne weiteres möglich gewesen sei. Auf diese Rüge sei die Vorinstanz kommentarlos nicht eingegangen. Damit sei ihr Anspruch auf rechtliches Gehör nach Art. 29 Abs. 2 BV und Art. 311 ZPO verletzt worden.</w:t>
      </w:r>
    </w:p>
    <w:p>
      <w:r>
        <w:t>Inwiefern letztere Bestimmung in diesem Zusammenhang verletzt sein soll, legt die Beschwerdeführerin nicht nachvollziehbar dar (Erwägung 2.1). Auch eine Verletzung des Anspruchs auf rechtliches Gehör ist diesbezüglich nicht hinreichend darlegt noch ersichtlich. Die Vorinstanz gab im Gegenteil den Standpunkt der Beschwerdeführerin, dass das Vorgehen der Erstinstanz im vorliegenden Fall einer "Rechtsv erweigerung" gleich komme, im Entscheid wieder (angefochtener Entscheid S. 38). Die Vorinstanz konnte aber keine Rechtsverweigerung erkennen. Sie kam vielmehr zum Schluss, dass die Beschwerdeführerin vor der Erstinstanz ihre Forderungen hätte substanziieren und im Berufungsverfahren hinreichend aufzeigen sollen, wann und wo sie vor der Erstinstanz rechtzeitig welche Behauptungen aufgestellt habe, die eine genügende Substanziierung der Forderungen aus dem Konkubinationsverhältnis darstellten. Die Vorinstanz nannte damit die Überlegungen von denen sie sich hat leiten lassen und auf die sich ihr Entscheid stützt (dazu: BGE 143 III 65 E. 5.2). Sie genügte damit den Begründungsanforderungen von Art. 29 Abs. 2 BV .</w:t>
      </w:r>
    </w:p>
    <w:p>
      <w:r>
        <w:rPr>
          <w:b/>
        </w:rPr>
        <w:t>E. 4.3</w:t>
      </w:r>
    </w:p>
    <w:p>
      <w:r>
        <w:t>Die Beschwerdeführerin moniert, dass ihr Recht auf Beweis nach Art. 29 Abs. 2 BV verletzt worden sei. Es sei nicht nachvollziehbar, weshalb die Klage zu wenig substanziiert sein soll, wenn die Erstinstanz eine Beweisverfügung habe erlassen können, was substanziierte Behauptungen voraussetze. Die Beweise hätten daher abgenommen werden müssen.</w:t>
      </w:r>
    </w:p>
    <w:p>
      <w:r>
        <w:t>Mit dem Standpunkt der Beschwerdeführerin, wonach die Erstinstanz "über diese Punkte ei n Beweisverfahren geführt" habe, hat sich die Vorinstanz befasst und dargelegt, weshalb auch in diesem Zusammenhang die Berufungsbegründung der Beschwerdeführerin nicht genügt. Mit diesen vorinstanzlichen Erwägungen setzt sich die Beschwerdeführerin vor Bundesgericht nicht hinreichend auseinander, noch legt sie rechtsgenüglich dar (Erwägung 2.1), inwiefern die Vorinstanz diesbezüglich Art. 29 Abs. 2 BV verletzt haben soll.</w:t>
      </w:r>
    </w:p>
    <w:p>
      <w:r>
        <w:rPr>
          <w:b/>
        </w:rPr>
        <w:t>E. 4.4</w:t>
      </w:r>
    </w:p>
    <w:p>
      <w:r>
        <w:t>Damit kann der Beschwerdeführerin im Hauptantrag nicht gefolgt werden.</w:t>
      </w:r>
    </w:p>
    <w:p>
      <w:r>
        <w:rPr>
          <w:b/>
        </w:rPr>
        <w:t>E. 5</w:t>
      </w:r>
    </w:p>
    <w:p>
      <w:r>
        <w:t>Die Beschwerdeführerin macht für den Fall, dass die vorinstanzliche Auffassung der mangelhaften Begründung vor Bundesgericht standhalte, als Eventualantrag geltend, dass die Klage abzuweisen wäre. Sie begründet aber den Eventualstandpunkt nicht hinreichend und legt auch nicht nachvollziehbar dar, aus welchen Gründen die Klage abzuweisen wäre (Erwägung 2.1).</w:t>
      </w:r>
    </w:p>
    <w:p>
      <w:r>
        <w:rPr>
          <w:b/>
        </w:rPr>
        <w:t>E. 6</w:t>
      </w:r>
    </w:p>
    <w:p>
      <w:r>
        <w:t>Nach dem Ausgeführten ist die Beschwerde abzuweisen, soweit darauf überhaupt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