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513/2009 vom 21. Dezember 2009</w:t>
      </w:r>
    </w:p>
    <w:p>
      <w:r>
        <w:t>Bundesgericht, 2009-12-21, FR</w:t>
      </w:r>
    </w:p>
    <w:p>
      <w:r>
        <w:rPr>
          <w:b/>
        </w:rPr>
        <w:t xml:space="preserve">Quelle: </w:t>
      </w:r>
      <w:r>
        <w:t>https://mcp.opencaselaw.ch/entscheid/bger_4A_513_2009</w:t>
      </w:r>
    </w:p>
    <w:p>
      <w:r>
        <w:t>FR: TF 4A 513/2009 du 21 décembre 2009</w:t>
      </w:r>
    </w:p>
    <w:p>
      <w:r>
        <w:t>IT: TF 4A 513/2009 del 21 dicembre 2009</w:t>
      </w:r>
    </w:p>
    <w:p>
      <w:pPr>
        <w:pStyle w:val="Heading2"/>
      </w:pPr>
      <w:r>
        <w:t>Regeste</w:t>
      </w:r>
    </w:p>
    <w:p>
      <w:r>
        <w:t>responsabilité délictuelle; solidarité | Assurance responsabilité civile</w:t>
      </w:r>
    </w:p>
    <w:p>
      <w:pPr>
        <w:pStyle w:val="Heading2"/>
      </w:pPr>
      <w:r>
        <w:t>Erwägungen</w:t>
      </w:r>
    </w:p>
    <w:p>
      <w:r>
        <w:rPr>
          <w:b/>
        </w:rPr>
        <w:t>E. 1</w:t>
      </w:r>
    </w:p>
    <w:p>
      <w:r>
        <w:t>Le jugement du Tribunal correctionnel comporte un prononcé pénal et un prononcé civil. Seul ce dernier était encore litigieux devant la Cour de cassation pénale, de sorte que, devant le Tribunal fédéral, la décision de cette autorité est en principe susceptible du recours en matière civile, à l'exclusion du recours en matière pénale ( ATF 133 III 701 ). Le recours en matière civile est recevable, le cas échéant, même s'il n'est pas intitulé correctement ( ATF 134 III 379 consid. 1.2 p. 382). Pour le surplus, le recours est dirigé contre un jugement final ( art. 90 LTF ) rendu en dernière instance cantonale ( art. 75 al. 1 LTF ). Son auteur a pris part à l'instance précédente et succombé dans ses conclusions ( art. 76 al. 1 LTF ). La valeur litigieuse excède le minimum légal de 30'000 fr. (art. 51 al. 1 let. a et 74 al. 1 let. b LTF).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Le recourant affirme qu'avant lui, B.________ a été jugé et condamné dans le canton de Neuchâtel à raison de sa propre activité coupable; que le jugement ainsi intervenu n'était pas encore rédigé à l'époque des débats devant le Tribunal correctionnel et qu'il n'a donc pas pu être remis à ce tribunal, mais que néanmoins, celui-ci ayant entendu B.________, il avait connaissance de ce procès. Le recourant reproche au Tribunal correctionnel d'avoir « délibérément » pris le risque que lui-même et B.________ fussent l'un et l'autre condamnés à rembourser la même somme à Z.________ SA; à son avis, le tribunal se trouvait confronté à une « question essentielle de litispendance ». Les circonstances ainsi invoquées ne sont pas constatées par la juridiction cantonale, de sorte que le Tribunal fédéral ne peut pas les prendre en considération. De toute manière, elles n'influencent pas l'issue de la contestation. Les conséquences procédurales de la litispendance sont fixées par l'art. 35 de la loi fédérale sur les fors (LFors). Cette disposition suppose que des actions portant sur le même objet et opposant les mêmes parties soient introduites devant deux ou plusieurs tribunaux. Les procès pénaux de Neuchâtel et de Lausanne n'opposaient pas les mêmes accusés à la lésée Z.________ SA, de sorte que, faute d'identité des parties, ladite disposition se trouve d'emblée hors de cause. Pour le surplus, le droit fédéral n'exclut pas que plusieurs personnes soient condamnées par des jugements distincts à la réparation du même dommage. La solidarité passive de ceux qui ont causé ensemble un dommage est en effet prévue par l' art. 50 al. 1 CO . L' art. 144 al. 1 CO autorise le créancier à obtenir, éventuellement, un jugement contre chacun des codébiteurs. Si le créancier use de la poursuite pour dettes, le codébiteur visé peut faire valoir, le cas échéant, sur la base des art. 147 al. 1 CO et 81 al. 1 LP, que le dommage a été totalement ou partiellement réparé par le paiement d'un autre codébiteur.</w:t>
      </w:r>
    </w:p>
    <w:p>
      <w:r>
        <w:rPr>
          <w:b/>
        </w:rPr>
        <w:t>E. 3</w:t>
      </w:r>
    </w:p>
    <w:p>
      <w:r>
        <w:t>Le recourant conteste l'existence d'un rapport de causalité adéquate entre son comportement et le préjudice subi par Z.________ SA. Selon la jurisprudence, la causalité est adéquate - et c'est une condition de la responsabilité délictuelle régie par l' art. 41 CO (cf. ATF 132 III 379 consid. 3.1 p. 381) - si, d'après le cours ordinaire des choses et l'expérience de la vie, le fait considéré était propre à entraîner un effet du genre de celui qui s'est produit. Le juge doit examiner, face à un enchaînement concret de circonstances, s'il était probable que le fait considéré produisît le résultat intervenu ( ATF 123 III 110 consid. 3a p. 112; voir aussi ATF 129 II 312 consid. 3.3 p. 318; 125 V 456 consid. 5a p. 461/462). Ce n'est pas la prévisibilité subjective mais la prévisibilité objective qui est déterminante ( ATF 112 II 439 consid. 1d p. 442; 101 II 69 consid. 3a p. 73). Sans se ménager aucune possibilité de contrôler le comportement de B.________, le recourant a mis ce dernier en mesure de prélever de manière répétée du carburant aux frais de Z.________ SA, en quantités indéterminées. Le rapport de causalité adéquate est ici indiscutable. L'audience du Tribunal correctionnel a permis un débat contradictoire à ce sujet, de sorte que, contrairement à l'argumentation soumise au Tribunal fédéral, il n'y avait pas lieu de renvoyer la lésée à agir devant les tribunaux civils.</w:t>
      </w:r>
    </w:p>
    <w:p>
      <w:r>
        <w:rPr>
          <w:b/>
        </w:rPr>
        <w:t>E. 4</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