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512/2014 vom 22. Oktober 2015</w:t>
      </w:r>
    </w:p>
    <w:p>
      <w:r>
        <w:t>Bundesgericht, 2015-10-22, IT</w:t>
      </w:r>
    </w:p>
    <w:p>
      <w:r>
        <w:rPr>
          <w:b/>
        </w:rPr>
        <w:t xml:space="preserve">Quelle: </w:t>
      </w:r>
      <w:r>
        <w:t>https://mcp.opencaselaw.ch/entscheid/bger_4A_512_2014</w:t>
      </w:r>
    </w:p>
    <w:p>
      <w:r>
        <w:t>FR: TF 4A 512/2014 du 22 octobre 2015</w:t>
      </w:r>
    </w:p>
    <w:p>
      <w:r>
        <w:t>IT: TF 4A 512/2014 del 22 ottobre 2015</w:t>
      </w:r>
    </w:p>
    <w:p>
      <w:pPr>
        <w:pStyle w:val="Heading2"/>
      </w:pPr>
      <w:r>
        <w:t>Regeste</w:t>
      </w:r>
    </w:p>
    <w:p>
      <w:r>
        <w:t>risoluzione immediata del contratto di lavoro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2'000.-- sono poste a carico della ricorrente, che rifonderà all'opponente fr. 2'500.-- per ripetibili della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22 ottobre 2015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