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4A_511/2019 vom 1. November 2019</w:t>
      </w:r>
    </w:p>
    <w:p>
      <w:r>
        <w:t>Bundesgericht, 2019-11-01, DE</w:t>
      </w:r>
    </w:p>
    <w:p>
      <w:r>
        <w:rPr>
          <w:b/>
        </w:rPr>
        <w:t xml:space="preserve">Quelle: </w:t>
      </w:r>
      <w:r>
        <w:t>https://mcp.opencaselaw.ch/entscheid/bger_4A_511_2019</w:t>
      </w:r>
    </w:p>
    <w:p>
      <w:r>
        <w:t>FR: TF 4A_511/2019 du 1 novembre 2019</w:t>
      </w:r>
    </w:p>
    <w:p>
      <w:r>
        <w:t>IT: TF 4A_511/2019 del 1 novembre 2019</w:t>
      </w:r>
    </w:p>
    <w:p>
      <w:pPr>
        <w:pStyle w:val="Heading2"/>
      </w:pPr>
      <w:r>
        <w:t>Erwägungen</w:t>
      </w:r>
    </w:p>
    <w:p>
      <w:r>
        <w:rPr>
          <w:b/>
        </w:rPr>
        <w:t>E. 1</w:t>
      </w:r>
    </w:p>
    <w:p>
      <w:r>
        <w:t>Am 13. Mai 2011 vermietete B.________ (Beschwerdegegner) A.________ (Beschwerdeführerin) auf den 1. Juli 2011 Geschäftsräumlichkeiten an der Winkelriedstrasse 56 in Bern. A.________ beabsichtigte, im Mietobjekt ein Geschäft zu eröffnen. Der Mietvertrag war ursprünglich bis zum 30. Juni 2016 befristet. Am 4./15. Mai 2015 verlängerten die Parteien ihn um fünf Jahre bis am 30. Juni 2021.</w:t>
      </w:r>
    </w:p>
    <w:p>
      <w:r>
        <w:t>Ab November 2015 entstand zwischen den Vertragsparteien Streit über eine Videoüberwachungskamera, die A.________ neben der Türe ihres Lokals montiert hatte. Am 21. März 2016 kündigte B.________ den Mietvertrag per 30. September 2016 "gemäss Art. 266g OR (Videokamera wurde ohne Erlaubnis montiert - trotz zweimaliger Mahnung wurde diese nicht entfernt) ".</w:t>
      </w:r>
    </w:p>
    <w:p>
      <w:r>
        <w:t>A.________ gelangte dagegen an die Schlichtungsbehörde Bern-Mittelland und anschliessend an das Regionalgericht Bern-Mittelland. Sie verlangte, die Kündigung sei für unwirksam zu verklären, eventualiter sei sie aufzuheben. Subeventualiter sei das Mietverhältnis "um 6 Jahre ab der Gerichtsverhandlung unter Vorbehalt einer zweiten Erstreckung zu verlängern". Ferner forderte sie von B.________ Schadenersatz für entgangenen Gewinn und Kosten zufolge der Kündigung.</w:t>
      </w:r>
    </w:p>
    <w:p>
      <w:r>
        <w:t>Mit Entscheid vom 7. Februar 2019 trat das Regionalgericht auf das Schadenersatzbegehren nicht ein und wies die Klage im Übrigen ab.</w:t>
      </w:r>
    </w:p>
    <w:p>
      <w:r>
        <w:t>Die von A.________ gegen diesen Entscheid erhobene Berufung wies das Obergericht des Kantons Bern mit Entscheid vom 10. September 2019 ab, soweit es darauf eintrat. Ebenfalls wies das Obergericht das Gesuch um unentgeltliche Rechtspflege für das Berufungsverfahren ab.</w:t>
      </w:r>
    </w:p>
    <w:p>
      <w:r>
        <w:t>A.________ hat mit Eingabe an das Bundesgericht vom 14. Oktober 2019 erklärt, diesen Entscheid mit Beschwerde anzufechten. Es wurden keine Vernehmlassungen eingeholt.</w:t>
      </w:r>
    </w:p>
    <w:p>
      <w:r>
        <w:rPr>
          <w:b/>
        </w:rPr>
        <w:t>E. 2</w:t>
      </w:r>
    </w:p>
    <w:p>
      <w:r>
        <w:t>Mit Beschwerde in Zivilsachen können Rechtsverletzungen nach Art. 95 und 96 BGG gerügt werden.</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Erforderlich ist zudem, dass der Entscheid nicht nur in der Begründung, sondern auch im Ergebnis willkürlich ist ( BGE 141 III 564 E. 4.1; 140 III 16 E. 2.1; je mit weiteren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137 II 353 E. 5.1).</w:t>
      </w:r>
    </w:p>
    <w:p>
      <w:r>
        <w:rPr>
          <w:b/>
        </w:rPr>
        <w:t>E. 3</w:t>
      </w:r>
    </w:p>
    <w:p>
      <w:r>
        <w:t>Die Beschwerde enthält über weite Strecken keine hinreichende Begründung, weil die Beschwerdeführerin darin nach Belieben von den Feststellungen der Vorinstanz abweicht und ihre rechtlichen Beanstandungen auf eigene Behauptungen abstützt, ohne hinreichend begründete Sachverhaltsrügen im eben dargelegten Sinn zu erheben. Insbesondere genügt es nicht, wenn sie vom angefochtenen Entscheid abweichende Sachverhaltselemente mit Hinweis auf Beilagen zu ihren Eingaben im kantonalen Verfahren zu belegen versucht, aber weder aufzeigt, dass sie entsprechende Tatsachenbehauptungen bereits im kantonalen Verfahren rechtzeitig erhoben hat, noch, dass die Voraussetzungen für neue Vorbringen gemäss Art. 99 Abs. 1 BGG gegeben sind. Ferner kann die Beschwerdeführerin nicht gehört werden, wenn sie zahlreiche Feststellungen und Erwägungen der Vorinstanz als unhaltbar, willkürlich oder rechtsmissbräuchlich bezeichnet, aber keine dahingehende konkreten und zulässigen Rügen (Art. 95 f. BGG) nachvollziehbar vorträgt. Soweit sie eine Verletzung ihres Rechts auf Beweis beanstandet, unterlässt sie es, im Einzelnen darzulegen, welche entscheiderheblichen Behauptungen sie mit den fraglichen Beweismitteln hätte beweisen wollen. Die Beschwerde ist somit mangels hinreichender Begründung weitgehend unzulässig.</w:t>
      </w:r>
    </w:p>
    <w:p>
      <w:r>
        <w:t>Soweit darauf überhaupt eingetreten werden kann, erweist sie sich als offensichtlich unbegründet: So moniert die Beschwerdeführerin zu Unrecht, dass die Vorinstanz bei der Beurteilung der Erstreckung des Mietverhältnisses auf "die Verhältnisse im Zeitpunkt der Kündigung" hätte abstellen müssen (vgl. dazu nur etwa Urteil 4A_568/2008 vom 18. Februar 2009 E. 5). Wenn die Vorinstanz an anderer Stelle selber erwog, Vorgänge nach der Kündigung seien unbeachtlich, bezog sie sich dagegen auf die</w:t>
      </w:r>
    </w:p>
    <w:p>
      <w:r>
        <w:t>Gültigkeit der letzteren (siehe dazu BGE 145 III 143 E. 3.1 S. 147 mit Hinweisen). Weiter rügt die Beschwerdeführerin die "Voreingenommenheit" der Vorinstanz, vermag jedoch keinen Ausstandsgrund gegenüber den beteiligten Gerichtspersonen zu belegen, indem sie lediglich einzelne angebliche Fehler der Verfahrensleitung und des angefochtenen Entscheids hervorhebt (siehe etwa Urteil 4A_149/2018 E. 5.2 mit weiteren Hinweisen).</w:t>
      </w:r>
    </w:p>
    <w:p>
      <w:r>
        <w:rPr>
          <w:b/>
        </w:rPr>
        <w:t>E. 4</w:t>
      </w:r>
    </w:p>
    <w:p>
      <w:r>
        <w:t>Die Beschwerde ist im Verfahren nach Art. 109 Abs. 2 lit. a BGG abzuweisen, soweit darauf eingetreten werden kann. Dem Ausgang des Verfahrens entsprechend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