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4A_511/2013 vom 27. Februar 2014</w:t>
      </w:r>
    </w:p>
    <w:p>
      <w:r>
        <w:t>Bundesgericht, 2014-02-27, DE</w:t>
      </w:r>
    </w:p>
    <w:p>
      <w:r>
        <w:rPr>
          <w:b/>
        </w:rPr>
        <w:t xml:space="preserve">Quelle: </w:t>
      </w:r>
      <w:r>
        <w:t>https://mcp.opencaselaw.ch/entscheid/bger_4A_511_2013</w:t>
      </w:r>
    </w:p>
    <w:p>
      <w:r>
        <w:t>FR: TF 4A_511/2013 du 27 février 2014</w:t>
      </w:r>
    </w:p>
    <w:p>
      <w:r>
        <w:t>IT: TF 4A_511/2013 del 27 febbraio 2014</w:t>
      </w:r>
    </w:p>
    <w:p>
      <w:pPr>
        <w:pStyle w:val="Heading2"/>
      </w:pPr>
      <w:r>
        <w:t>Erwägungen</w:t>
      </w:r>
    </w:p>
    <w:p>
      <w:r>
        <w:rPr>
          <w:b/>
        </w:rPr>
        <w:t>E. 1</w:t>
      </w:r>
    </w:p>
    <w:p>
      <w:r>
        <w:t>Das Bundesgericht prüft von Amtes wegen und mit freier Kognition, ob ein Rechtsmittel zulässig ist ( BGE 139 III 249 E. 1 S. 250; 137 III 417 E. 1).</w:t>
      </w:r>
    </w:p>
    <w:p>
      <w:r>
        <w:rPr>
          <w:b/>
        </w:rPr>
        <w:t>E. 1.1</w:t>
      </w:r>
    </w:p>
    <w:p>
      <w:r>
        <w:t>Der Schiedsentscheid vom 12. September 2013 betrifft eine Streitigkeit zwischen zwei Parteien, die beide ihren Sitz bzw. Wohnsitz in der Schweiz haben (und auch beim Abschluss der Schiedsvereinbarung hatten; Art. 176 IPRG [SR 291]). Für die Rechtsmittelordnung sind somit die Bestimmungen über die interne Schiedsgerichtsbarkeit (3. Teil ZPO) anzuwenden. Interne Schiedsentscheide sind unter den Voraussetzungen der Art. 389 bis 395 ZPO anfechtbar, soweit die Parteien keine Vereinbarung im Sinne von Art. 353 Abs. 2 ZPO abgeschlossen haben, mit der sie die Geltung dieser Bestimmungen ausschlossen und die Anwendung der Bestimmungen des 12. Kapitels des IPRG vereinbarten. Nachdem dies vorliegend nicht der Fall ist und die Parteien keine Beschwerdemöglichkeit an ein kantonales Gericht im Sinne von Art. 390 ZPO vereinbart haben, steht gegen den Endschiedsspruch ( Art. 392 lit. a ZPO ) vom 12. September 2013 die Beschwerde an das Bundesgericht als einzige Rechtsmittelinstanz nach den Bestimmungen von Art. 389 ff. ZPO offen ( Art. 77 Abs. 1 lit. b BGG ), soweit es sich dabei qualitativ um einen Schieds</w:t>
      </w:r>
    </w:p>
    <w:p>
      <w:r>
        <w:t>entscheid handelt.</w:t>
      </w:r>
    </w:p>
    <w:p>
      <w:r>
        <w:rPr>
          <w:b/>
        </w:rPr>
        <w:t>E. 1.2.1</w:t>
      </w:r>
    </w:p>
    <w:p>
      <w:r>
        <w:t>Die Beschwerde in Zivilsachen gemäss Art. 77 BGG i.V.m. Art. 389 ff. ZPO ist nur zulässig gegen Schieds</w:t>
      </w:r>
    </w:p>
    <w:p>
      <w:r>
        <w:t>entscheide ( BGE 136 III 597 E. 4 S. 599; 136 III 200 E. 2.3.1 S. 203). Dabei bestimmt sich nicht nach der äusseren Bezeichnung, sondern ausschliesslich nach dem Inhalt der schiedsgerichtlichen Anordnung, ob es sich um einen anfechtbaren Entscheid i.S. der genannten Bestimmungen handelt ( BGE 136 III 597 E. 4 S. 599; 136 III 200 E. 2.3.3 S. 205).</w:t>
      </w:r>
    </w:p>
    <w:p>
      <w:r>
        <w:rPr>
          <w:b/>
        </w:rPr>
        <w:t>E. 1.2.2</w:t>
      </w:r>
    </w:p>
    <w:p>
      <w:r>
        <w:t>Die Beschwerdeführerin verlangt in ihrer Beschwerde u.a. die Aufhebung von Ziff. 3 des angefochtenen Schiedsspruchs, mit welcher der Beschwerdeführerin "unverbindlich nahe gelegt" wird, den Beschwerdegegner "für die hypothetischen Parteikosten des IV-Beschwerdeverfahrens im Rahmen eines Zeitaufwandes von 9 Stunden zu entschädigen". Aus der Formulierung dieser Dispositiv-Ziffer ergibt sich, dass es sich dabei nicht um eine schiedsgerichtliche Anordnung, sondern um einen unverbindlichen Vorschlag handelt. Dispositiv-Ziffer 3 weist mithin nicht die Qualität eines anfechtbaren Schiedsentscheids i.S. von Art. 77 BGG i.V.m. Art. 389 ff. ZPO auf. Auf die Beschwerde ist somit mangels tauglichen Anfechtungsobjekts nicht einzutreten, soweit sie sich gegen Dispositiv-Ziffer 3 des angefochtenen Schiedsentscheids richtet.</w:t>
      </w:r>
    </w:p>
    <w:p>
      <w:r>
        <w:rPr>
          <w:b/>
        </w:rPr>
        <w:t>E. 2</w:t>
      </w:r>
    </w:p>
    <w:p>
      <w:r>
        <w:t>Soweit die Beschwerdeführerin die Kostenverteilung in Dispositiv-Ziffer 2 des angefochtenen Entscheids anficht, ruft sie die Rügegründe gemäss Art. 393 lit. c und e ZPO an.</w:t>
      </w:r>
    </w:p>
    <w:p>
      <w:r>
        <w:rPr>
          <w:b/>
        </w:rPr>
        <w:t>E. 2.1</w:t>
      </w:r>
    </w:p>
    <w:p>
      <w:r>
        <w:t>Die Beschwerdegründe gegen einen Schiedsspruch sind beschränkter als gegen ein staatliches Urteil; sie sind im Gesetz abschliessend aufgezählt ( Art. 393 ZPO ). Mit einer Schiedsbeschwerde kann nicht gerügt werden, der angefochtene Entscheid verletze Bundesrecht im Sinne von Art. 95 lit. a BGG , handle es sich um solches auf Verfassungs- oder auf Gesetzesstufe (Urteile 4A_424/2011 vom 2. November 2011 E. 1.3; 4A_254/2011 vom 5. Juli 2011 E. 5.1). Das Bundesgericht prüft sodann nur die Beschwerdegründe, die in der Beschwerde vorgebracht und begründet werden ( Art. 77 Abs. 3 BGG ). Diese Anforderung entspricht der für die Verletzung von Grundrechten vorgesehenen Rügepflicht ( Art. 106 Abs. 2 BGG ); dabei gelten nach wie vor die strengen Begründungsanforderungen, die das Bundesgericht unter der Herrschaft von Art. 90 Abs. 1 lit. b aOG stellte ( BGE 134 III 186 E. 5). Der Beschwerdeführer muss die einzelnen Beschwerdegründe, die nach seinem Dafürhalten erfüllt sind, benennen; es ist nicht Aufgabe des Bundesgerichts, danach zu forschen, welcher Beschwerdegrund nach Art. 393 ZPO mit den einzelnen erhobenen Rügen geltend gemacht werden soll, wenn dies vom Beschwerdeführer nicht präzisiert wird. Sodann hat der Beschwerdeführer im Detail aufzuzeigen, warum die angerufenen Beschwerdegründe erfüllt sind, wobei er mit seiner Kritik an den als rechtsfehlerhaft erachteten Erwägungen der Vorinstanz anzusetzen hat (vgl. BGE 128 III 50 E. 1c; ferner: BGE 134 II 244 E. 2.1 S. 245 f.; 133 IV 286 E. 1.4 S. 287; 134 V 53 E. 3.3; s. zum Ganzen Urteil 4A_424/2011 vom 2. November 2011 E. 1.3 mit Hinweisen). Unbeachtlich sind blosse Verweise auf die Akten; inwiefern die angerufenen Beschwerdegründe gegeben sein sollen, ist in der Beschwerdeschrift selber darzulegen (vgl. BGE 133 II 396 E. 3.1 S. 400; 126 III 198 E. 1d; 116 II 92 E. 2; 115 II 83 E. 3 S. 85).</w:t>
      </w:r>
    </w:p>
    <w:p>
      <w:r>
        <w:rPr>
          <w:b/>
        </w:rPr>
        <w:t>E. 2.2.1</w:t>
      </w:r>
    </w:p>
    <w:p>
      <w:r>
        <w:t>Die Beschwerdeführerin macht geltend, der Schiedsrichter habe im Schiedsurteil ihr Rechtsbegehren, wonach die Kosten des Schiedsverfahrens dem Beschwerdegegner aufzuerlegen sowie der Beschwerdeführerin eine Parteientschädigung zuzusprechen seien, nicht beurteilt und damit eine formelle Rechtsverweigerung begangen. Das Schiedsurteil verweise zwar auf das Schreiben der Beschwerdeführerin vom 1. März 2013. Dieses Schreiben dürfe jedoch nicht losgelöst vom Schreiben vom 19. Februar 2013 betrachtet werden, welches eine Kostengutsprache im Sinne eines Vorschusses gemäss Art. 378 ZPO darstelle. Vielmehr sei sowohl in der Schiedsklageantwort als auch in der Duplik der Antrag gestellt worden, dass über die Kosten- und Entschädigungsfolgen zu entscheiden sei. Im Übrigen habe auch der Beschwerdegegner mit Schreiben vom 8. August 2013 beantragt, dass die Kosten vorerst bei der Beschwerdeführerin einzufordern seien, da die heutige finanzielle Situation des Beschwerdegegners die Übernahme der Kosten des Schiedsverfahrens nicht möglich mache. Der Beschwerdegegner habe weder in der Schiedsklage, noch in der Replik und im Schreiben vom 8. August 2013 geltend gemacht, dass die Kosten definitiv von der Beschwerdeführerin zu tragen seien. Der zugesicherte Vorschuss der Schiedsverfahrenskosten im Sinne von Art. 378 ZPO gemäss den Schreiben der Beschwerdeführerin vom 19. Februar 2013 und 1. März 2013 entbinde den Schiedsrichter nicht davon, einen Entscheid über die Kosten- und Entschädigungsfolgen zu fällen.</w:t>
      </w:r>
    </w:p>
    <w:p>
      <w:r>
        <w:rPr>
          <w:b/>
        </w:rPr>
        <w:t>E. 2.2.2</w:t>
      </w:r>
    </w:p>
    <w:p>
      <w:r>
        <w:t>Gemäss Art. 393 lit. c ZPO kann gegen einen internen Schiedsspruch eingewendet werden, das Schiedsgericht habe über Streitpunkte entschieden, die ihm nicht unterbreitet worden seien, oder es habe Rechtsbegehren unbeurteilt gelassen. Bei der im zweiten Halbsatz erwähnten Unterlassung der Beurteilung eines Rechtsbegehrens (Entscheid</w:t>
      </w:r>
    </w:p>
    <w:p>
      <w:r>
        <w:t>infra petita ) handelt es sich um einen Fall formeller Rechtsverweigerung. Dieser Rügegrund bezieht sich auf einen Schiedsspruch, der unvollständig ist, weil das Schiedsgericht Rechtsbegehren unbeurteilt gelassen hat, die ihm von den Parteien unterbreitet wurden. Gestützt auf Art. 393 lit. c ZPO kann indessen nicht geltend gemacht werden, das Schiedsgericht habe die Streitsache nicht unter allen rechtlichen Aspekten geprüft ( BGE 128 III 234 E. 4a); ebensowenig lässt sich daraus ein Anspruch auf Begründung des Schiedsentscheids ableiten (Urteil 4A_635/2012 vom 10. Dezember 2012 E. 4.2).</w:t>
      </w:r>
    </w:p>
    <w:p>
      <w:r>
        <w:rPr>
          <w:b/>
        </w:rPr>
        <w:t>E. 2.2.3</w:t>
      </w:r>
    </w:p>
    <w:p>
      <w:r>
        <w:t>Die Rüge, die Vorinstanz habe die Begehren der Beschwerdeführerin um Verlegung der Partei- und Gerichtskosten unbeurteilt gelassen, ist unbegründet. Mit der Dispositiv-Ziffer 2 des angefochtenen Schiedsspruchs hat der Schiedsrichter der Beschwerdeführerin die Gerichtskosten auferlegt und die Parteikosten ("ausserordentlichen Kosten") wettgeschlagen. Mit dieser klaren Kostenregelung hat der Schiedsrichter die Begehren um Kostenverlegung beurteilt. Ein Entscheid</w:t>
      </w:r>
    </w:p>
    <w:p>
      <w:r>
        <w:t>infra petita liegt nicht vor.</w:t>
      </w:r>
    </w:p>
    <w:p>
      <w:r>
        <w:t>Der Hinweis auf das Schreiben vom 1. März 2013, in welchem die Beschwerdeführerin gegenüber dem Schiedsrichter erklärt, dieser könne seine Aufwendungen "zum vereinbarten Stundenansatz von Fr. 250.-- in Rechnung stellen ", stellt eine Begründung der getroffenen Kostenregelung dar. Mit dem Rügegrund von Art. 393 lit. c ZPO kann die Begründung eines beurteilten Rechtsbegehrens nicht in Frage gestellt werden.</w:t>
      </w:r>
    </w:p>
    <w:p>
      <w:r>
        <w:rPr>
          <w:b/>
        </w:rPr>
        <w:t>E. 2.3.1</w:t>
      </w:r>
    </w:p>
    <w:p>
      <w:r>
        <w:t>Die Beschwerdeführerin macht sodann geltend, die Kostenauferlegung und das Wettschlagen der ausserordentlichen Kosten seien willkürlich erfolgt. Gemäss schweizerischer Auffassung, die in der ZPO verankert ist ( Art. 106 Abs. 1 ZPO ), habe die unterliegende Partei grundsätzlich die Verfahrenskosten zu tragen und die obsiegende Partei Anspruch auf Entschädigung. Diese Verteilregel entspreche auch der allgemeinen Usanz in der Schiedsgerichtsbarkeit. Vorliegend seien keine Gründe ersichtlich, von dieser Verteilregel abzuweichen.</w:t>
      </w:r>
    </w:p>
    <w:p>
      <w:r>
        <w:rPr>
          <w:b/>
        </w:rPr>
        <w:t>E. 2.3.2</w:t>
      </w:r>
    </w:p>
    <w:p>
      <w:r>
        <w:t>Gemäss Art. 393 lit. e ZPO kann gegen den Schiedsspruch vorgebracht werden, er sei im Ergebnis willkürlich, weil er auf offensichtlich aktenwidrigen tatsächlichen Feststellungen oder auf einer offensichtlichen Verletzung des Rechts oder der Billigkeit beruht (zum Ganzen Urteil 4A_424/2011 vom 2. November 2011 E. 2.1). Dieser Beschwerdegrund wurde aus dem früheren Konkordat ( Art. 36 lit. f KSG ) übernommen (Botschaft vom 28. Juni 2006 zur Schweizerischen Zivilprozessordnung, BBl 2006 7405 Ziff. 5.25.8 zu Art. 391 des Entwurfs). Die Umschreibung des Willkürtatbestandes in Art. 393 lit. e ZPO bzw. Art. 36 lit. f KSG stimmt mit dem Begriff der Willkür überein, den das Bundesgericht zu Art. 4 aBV bzw. Art. 9 BV entwickelt hat ( BGE 131 I 45 E. 3.4 S. 48). Die Tatbestände, hinsichtlich derer Willkür im genannten Sinne geltend gemacht werden kann, sind jedoch eingeschränkt. 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S. 49 f.; Urteile 4A_454/2011 vom 27. Oktober 2011 E. 2.2; 4A_424/2011 vom 2. November 2011 E. 2.1).</w:t>
      </w:r>
    </w:p>
    <w:p>
      <w:r>
        <w:t>Mit offensichtlicher Verletzung des Rechts gemäss Art. 393 lit. e ZPO ist - als weitere Einschränkung - nur eine Verletzung des materiellen Rechts gemeint und nicht eine solche des Verfahrensrechts ( BGE 131 I 45 E. 3.4 S. 48; 112 Ia 350 E. 2 S. 352; Urteile 4A_649/2012 vom 13. Mai 2013 E. 2.2.2; 5A_73/2012 vom 26. März 2012 E. 1.4). Vorbehalten bleiben in Analogie zur Rechtsprechung zu Art. 190 Abs. 2 lit. e IPRG Prozessfehler, die den prozessualen</w:t>
      </w:r>
    </w:p>
    <w:p>
      <w:r>
        <w:t>Ordre public verletzen, so beispielsweise das Recht auf einen unabhängigen und unparteiischen Experten oder die Beachtung des Grundsatzes der</w:t>
      </w:r>
    </w:p>
    <w:p>
      <w:r>
        <w:t>res iudicata , einschliesslich bezüglich eigener, früherer Teilentscheide des gleichen Schiedsgerichts (Berger/Kellerhals, International and Domestic Arbitration in Switzerland, 2. Aufl. 2010, N. 1717 sowie Michael Mráz, in: Basler Kommentar, 2. Aufl. 2013, N. 89 zu Art. 393 ZPO , welche zu Recht darauf hinweisen, dass der konsequente Ausschluss elementarer prozessualer Prinzipien unter Art. 393 lit. e ZPO einen geringeren Schutz zur Folge hätte, als ihn die Parteien unter Art. 190 Abs. 2 lit. e IPRG geniessen).</w:t>
      </w:r>
    </w:p>
    <w:p>
      <w:r>
        <w:rPr>
          <w:b/>
        </w:rPr>
        <w:t>E. 2.3.3</w:t>
      </w:r>
    </w:p>
    <w:p>
      <w:r>
        <w:t>Die Rüge, die Vorinstanz habe eine willkürliche Kostenregelung getroffen, zielt damit ins Leere, handelt es sich doch bei der Verteilung der Partei- und Gerichtskosten um eine Frage des Verfahrensrechts und nicht des materiellen Rechts. Mit Art. 393 lit. e ZPO kann keine Verletzung des Verfahrensrechts geltend gemacht werden. Dass die getroffene Kostenregelung gleichsam gegen den prozessualen</w:t>
      </w:r>
    </w:p>
    <w:p>
      <w:r>
        <w:t>Ordre public verstösst, macht die Beschwerdeführerin zu Recht nicht geltend.</w:t>
      </w:r>
    </w:p>
    <w:p>
      <w:r>
        <w:rPr>
          <w:b/>
        </w:rPr>
        <w:t>E. 3</w:t>
      </w:r>
    </w:p>
    <w:p>
      <w:r>
        <w:t>Damit erweist sich die Beschwerde als unbegründet, soweit auf sie einzutreten ist.</w:t>
      </w:r>
    </w:p>
    <w:p>
      <w:r>
        <w:t>Bei diesem Ausgang des Verfahrens wird die Beschwerdeführerin kosten- und entschädigungspflichtig ( Art. 66 Abs. 1 und Art. 68 Abs. 2 BGG ). Da nicht von der Uneinbringlichkeit der Parteientschädigung auszugehen ist,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