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4A_510/2021 vom 24. November 2022</w:t>
      </w:r>
    </w:p>
    <w:p>
      <w:r>
        <w:t>Bundesgericht, 2022-11-24, IT</w:t>
      </w:r>
    </w:p>
    <w:p>
      <w:r>
        <w:rPr>
          <w:b/>
        </w:rPr>
        <w:t xml:space="preserve">Quelle: </w:t>
      </w:r>
      <w:r>
        <w:t>https://mcp.opencaselaw.ch/entscheid/bger_4A_510_2021</w:t>
      </w:r>
    </w:p>
    <w:p>
      <w:r>
        <w:t>FR: TF 4A_510/2021 du 24 novembre 2022</w:t>
      </w:r>
    </w:p>
    <w:p>
      <w:r>
        <w:t>IT: TF 4A_510/2021 del 24 novembre 2022</w:t>
      </w:r>
    </w:p>
    <w:p>
      <w:pPr>
        <w:pStyle w:val="Heading2"/>
      </w:pPr>
      <w:r>
        <w:t>Erwägungen</w:t>
      </w:r>
    </w:p>
    <w:p>
      <w:r>
        <w:rPr>
          <w:b/>
        </w:rPr>
        <w:t>E. 1</w:t>
      </w:r>
    </w:p>
    <w:p>
      <w:r>
        <w:t>L'impugnativa è stata presentata da una parte soccombente in sede cantonale ( art. 76 cpv. 1 lett. a LTF ). Essa è tempestiva ( art. 100 cpv. 1 LTF ) ed è diretta contro una sentenza finale ( art. 90 LTF ) emanata su ricorso dall'autorità ticinese di ultima istanza ( art. 75 LTF ) in una causa civile ( art. 72 cpv. 1 LTF ) che raggiunge il valore litigioso richiesto ( art. 74 cpv. 1 lett. b LTF ). Di conseguenza, è di principio ammissibile e va esaminata quale ricorso ordinario in materia civile.</w:t>
      </w:r>
    </w:p>
    <w:p>
      <w:r>
        <w:rPr>
          <w:b/>
        </w:rPr>
        <w:t>E. 2.1</w:t>
      </w:r>
    </w:p>
    <w:p>
      <w:r>
        <w:t>Con il ricorso in materia civile si può far valere la violazione del diritto federale ( art. 95 lett. a LTF ), che include i diritti costituzionali dei cittadini ( DTF 133 III 446 consid. 3.1).</w:t>
      </w:r>
    </w:p>
    <w:p>
      <w:r>
        <w:t>Chi ricorre deve spiegare, in modo conciso ma confrontandosi con i considerandi della sentenza impugnata, perché quest'ultima lede il diritto ( art. 42 cpv. 2 LTF ; DTF 143 II 283 consid. 1.2.2). Semplici invii a quanto indicato davanti alle istanze inferiori non sono leciti. Le esigenze di motivazione sono inoltre più severe se è lamentata la lesione di diritti fondamentali, perché il Tribunale federale esamina tale aspetto solo se l'insorgente ha motivato la censura con precisione ( art. 106 cpv. 2 LTF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w:t>
      </w:r>
    </w:p>
    <w:p>
      <w:r>
        <w:t>Il Tribunale federale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Quando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sostanziare.</w:t>
      </w:r>
    </w:p>
    <w:p>
      <w:r>
        <w:rPr>
          <w:b/>
        </w:rPr>
        <w:t>E. 2.3</w:t>
      </w:r>
    </w:p>
    <w:p>
      <w:r>
        <w:t>La presente impugnativa, inoltrata contro la sentenza del 26 agosto 2021 del Tribunale d'appello del Cantone Ticino, rispetta i requisiti di motivazione esposti solo parzialmente.</w:t>
      </w:r>
    </w:p>
    <w:p>
      <w:r>
        <w:t>Nella misura in cui li disattende, essa sfugge pertanto a un esame di merito da parte del Tribunale federale.</w:t>
      </w:r>
    </w:p>
    <w:p>
      <w:r>
        <w:rPr>
          <w:b/>
        </w:rPr>
        <w:t>E. 3</w:t>
      </w:r>
    </w:p>
    <w:p>
      <w:r>
        <w:t>I Giudici di appello hanno confermato la pronuncia della prima istanza cantonale, con la quale la petizione è stata integralmente respinta.</w:t>
      </w:r>
    </w:p>
    <w:p>
      <w:r>
        <w:rPr>
          <w:b/>
        </w:rPr>
        <w:t>E. 3.1</w:t>
      </w:r>
    </w:p>
    <w:p>
      <w:r>
        <w:t>Nel considerando 2 del loro giudizio, hanno dapprima rammentato i contenuti della sentenza del Pretore, che aveva indicato:</w:t>
      </w:r>
    </w:p>
    <w:p>
      <w:r>
        <w:t>(a) che la cessione di un contratto è un negozio giuridico plurilaterale che richiede l'intervento di tre soggetti (il cedente, il cessionario e il contraente ceduto) e che esige il consenso di tutti gli interessati;</w:t>
      </w:r>
    </w:p>
    <w:p>
      <w:r>
        <w:t>(b) che l'onere di provare l'esistenza di detto consenso spetta a chi invoca la cessione del contratto e che tale onere competeva quindi all'attrice, A.________ SA;</w:t>
      </w:r>
    </w:p>
    <w:p>
      <w:r>
        <w:t>(c) che quest'ultima non aveva tuttavia dettagliato e sostanziato a sufficienza i fatti rilevanti, atti a comprovare che il contratto concluso in data 1° luglio 2014 fosse stato da essa ripreso;</w:t>
      </w:r>
    </w:p>
    <w:p>
      <w:r>
        <w:t>(d) che anche ammettendo - in via abbondanziale - che l'attrice avesse provato una modifica del contratto per atti concludenti, ciò non sarebbe bastato, perché il contratto stipulato il 1° luglio 2014 tra le parti prevedeva che ogni modifica andasse sottoposta alla forma scritta.</w:t>
      </w:r>
    </w:p>
    <w:p>
      <w:r>
        <w:rPr>
          <w:b/>
        </w:rPr>
        <w:t>E. 3.2</w:t>
      </w:r>
    </w:p>
    <w:p>
      <w:r>
        <w:t>Passata all'esame delle critiche formulate in seconda istanza, la Corte cantonale le ha quindi ritenute infondate, osservando:</w:t>
      </w:r>
    </w:p>
    <w:p>
      <w:r>
        <w:t>(a) che la A.________ SA affermava di nuovo di essere subentrata "de facto" a E.________ nel rapporto contrattuale litigioso, ma che le considerazioni espresse ai punti 1 e 2 dell'appello a sostegno di tale tesi erano irricevibili per carente motivazione, in quanto l'appellante si limitava a riproporre una personale e soggettiva versione dei fatti, senza muovere nessuna critica puntuale al giudizio impugnato, e a trascrivere parola per parola il contenuto delle conclusioni presentate in prima istanza ( art. 308 cpv. 1 CPC ; giudizio impugnato, consid. 3);</w:t>
      </w:r>
    </w:p>
    <w:p>
      <w:r>
        <w:t>(b) che le argomentazioni con le quali l'appellante si lamentava della motivazione abbondanziale del Pretore (sottolineando: da un lato, che a E.________ era stata riservata la facoltà di svolgere la propria attività di intermediazione anche attraverso società da lui indicate, che avrebbero poi potuto fatturare e incassare direttamente le provvigioni; d'altro lato, che la A.________ SA era detenuta al 100 % da E.________ e non poteva quindi essere considerata una "terza persona") erano inammissibili, perché formulate per la prima volta in sede di appello ( art. 317 cpv. 1 CPC ; giudizio impugnato, consid. 4);</w:t>
      </w:r>
    </w:p>
    <w:p>
      <w:r>
        <w:t>(c) inoltre, che dal chiaro tenore delle clausole n. 11 e 7 del contratto non si poteva in nessun modo dedurre la facoltà di E.________ di farsi sostituire nel rapporto contrattuale da società da lui indicate o "detenute", senza l'accordo scritto della controparte, come imposto esplicitamente dal contratto, mentre l'assunto secondo cui A.________ SA non poteva essere considerata una "terza persona" non era stato sostanziato e dimostrato dall'attrice, mancando agli atti qualsiasi elemento in tal senso (giudizio impugnato, consid. 4);</w:t>
      </w:r>
    </w:p>
    <w:p>
      <w:r>
        <w:t>(d) che anche le critiche sollevate contro l'argomentazione principale del Pretore, secondo cui l'attrice non era riuscita a sostanziare e comprovare di essere subentrata nel rapporto contrattuale in discussione, non potevano essere condivise, perché il consenso - per atti concludenti - della convenuta alla cessione del contratto non era stato effettivamente dimostrato (giudizio impugnato, consid. 5);</w:t>
      </w:r>
    </w:p>
    <w:p>
      <w:r>
        <w:t>(e) che la reazione della convenuta in merito alle fatture di cui al doc. E non permetteva infatti di concludere il riconoscimento della ripresa del rapporto contrattuale da parte dell'attrice; inoltre, che a conferma del fatto che ciò non era avvenuto poteva essere citato anche quanto indicato dalla teste G.________, che riconduceva l'emissione di tali fatture a nome dell'attrice a dei semplici motivi fiscali (giudizio impugnato, consid. 5.1.1 e 5.1.2);</w:t>
      </w:r>
    </w:p>
    <w:p>
      <w:r>
        <w:t>(f) che dall'audizione di G.________ risultava nel contempo che la stessa aveva informato E.________ del fatto che "se voleva fatturare sulla base del contratto (doc. C) doveva farlo personalmente, visto che A.________ non era parte e che se voleva fatturare a nome di A.________ allora bisognava cambiare il contratto"; inoltre, che da quella testimonianza non emerge nessun elemento atto a suffragare la ripresa del contratto da parte dell'attrice (giudizio impugnato, consid. 5.2).</w:t>
      </w:r>
    </w:p>
    <w:p>
      <w:r>
        <w:rPr>
          <w:b/>
        </w:rPr>
        <w:t>E. 4.1</w:t>
      </w:r>
    </w:p>
    <w:p>
      <w:r>
        <w:t>Davanti al Tribunale federale, l'insorgente indica di voler "far valere la violazione del diritto federale, nonché l'accertamento dei fatti svolto in modo manifestamente inesatto, per i motivi che verranno esplicitati nel prosieguo, così da poter ribaltare l'esito del procedimento".</w:t>
      </w:r>
    </w:p>
    <w:p>
      <w:r>
        <w:t>A tale indicazione, segue quindi una parte "in fatto e in diritto", nella quale una critica ai fatti - conforme a quanto indicato nel precedente considerando 2.2 - non viene tuttavia presentata.</w:t>
      </w:r>
    </w:p>
    <w:p>
      <w:r>
        <w:rPr>
          <w:b/>
        </w:rPr>
        <w:t>E. 4.2</w:t>
      </w:r>
    </w:p>
    <w:p>
      <w:r>
        <w:t>Nel suo gravame la ricorrente si limita in effetti a fornire una personale lettura della fattispecie, quindi a contrapporla a quella della Corte cantonale. Ciò però non basta, perché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deduzioni insostenibili, e tutto ciò va dimostrato con un'argomentazione qualificata (al riguardo, cfr. il precedente consid. 2.2).</w:t>
      </w:r>
    </w:p>
    <w:p>
      <w:r>
        <w:t>In assenza di una valida critica d'arbitrio, i fatti che risultano dal giudizio impugnato vincolano pertanto il Tribunale federale anche nella fattispecie ( art. 105 cpv. 1 LTF ) e tutte le cesure che si basano su fatti diversi o che mirano a contestare l'apprezzamento delle prove (come le fatture di cui al doc. E; precedente consid. 3.2 lett. e, relativo ad un'eventuale ripresa del rapporto contrattuale da parte della ricorrente) vanno quindi respinte già per questo motivo.</w:t>
      </w:r>
    </w:p>
    <w:p>
      <w:r>
        <w:rPr>
          <w:b/>
        </w:rPr>
        <w:t>E. 5.1</w:t>
      </w:r>
    </w:p>
    <w:p>
      <w:r>
        <w:t>L'assenza di una valida censura d'arbitrio, atta a dimostrare una violazione dell' art. 9 Cost. ha però conseguenze pure su quelle critiche con le quali il ricorrente mira a rimettere in discussione i contenuti del contratto concluso tra l'opponente e E.________.</w:t>
      </w:r>
    </w:p>
    <w:p>
      <w:r>
        <w:t>In effetti, il giudizio impugnato determina la vera e concorde volontà dei contraenti giusta l' art. 18 cpv. 1 CO , effettuando un'interpretazione soggettiva del contratto il cui risultato attiene nuovamente ai fatti (sentenza 4A_25/2020 del 29 giugno 2020 consid. 4.2). Di conseguenza, anch'esso può essere rimesso in discussione solo se ne è dimostrata l'arbitrarietà, ciò che qui non avviene ( DTF 144 III 93 consid. 5.2.2).</w:t>
      </w:r>
    </w:p>
    <w:p>
      <w:r>
        <w:rPr>
          <w:b/>
        </w:rPr>
        <w:t>E. 5.2</w:t>
      </w:r>
    </w:p>
    <w:p>
      <w:r>
        <w:t>Sulla base degli accertamenti che risultano dalla querelata sentenza, che vincolano anche il Tribunale federale ( art. 105 cpv. 1 LTF ), rispettivamente al contratto cui la stessa rinvia, un arbitrio appare ad ogni modo da escludere.</w:t>
      </w:r>
    </w:p>
    <w:p>
      <w:r>
        <w:t>Come indicato in risposta, il p.to 7 del contratto prevede difatti che "il pagamento delle provvigioni avverrà (...) dietro emissione di regolare fattura da parte di procacciatore verso B.________ SA, o di società da quest'ultimo indicata che abbia eventuali requisiti di cui al successivo punto 11" e subordina così la possibilità di fatturazione di prestazioni da parte di terzi al fatto che per l'esercizio dell'attività di mediazione fossero necessarie "particolari licenze, patenti, o autorizzazioni" (p.to 11), ciò che non risulta essere il caso per la ricorrente. Nel contempo, i p.ti 18 e 19 del contratto indicano che l'incarico "non può essere ceduto a terzi" (p.to 18) e che qualunque modifica del contratto deve avvenire "per iscritto e solo con il preventivo consenso scritto di entrambe le parti" (p.to 19).</w:t>
      </w:r>
    </w:p>
    <w:p>
      <w:r>
        <w:rPr>
          <w:b/>
        </w:rPr>
        <w:t>E. 5.3</w:t>
      </w:r>
    </w:p>
    <w:p>
      <w:r>
        <w:t>Di nuovo solo accennata e pertanto inammissibile ( art. 106 cpv. 2 LTF ) è infine anche la critica con la quale la ricorrente rimprovera all'opponente una "condotta di mala fede, quasi sfociante nell'abuso di diritto".</w:t>
      </w:r>
    </w:p>
    <w:p>
      <w:r>
        <w:t>Pure in questo contesto va d'altra parte rilevato che l'insorgente fa riferimento a fatti che non risultano dal giudizio impugnato, ciò che - in assenza di una valida critica d'arbitrio - contrasta nuovamente con con l' art. 105 cpv. 1 LTF (precedente consid. 2.2 e 4.2).</w:t>
      </w:r>
    </w:p>
    <w:p>
      <w:r>
        <w:rPr>
          <w:b/>
        </w:rPr>
        <w:t>E. 6</w:t>
      </w:r>
    </w:p>
    <w:p>
      <w:r>
        <w:t>Per quanto precede, nella misura in cui è ammissibile, il ricorso va respinto, poiché infondato. L'insorgente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