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510/2018 vom 7. Mai 2019</w:t>
      </w:r>
    </w:p>
    <w:p>
      <w:r>
        <w:t>Bundesgericht, 2019-05-07, DE</w:t>
      </w:r>
    </w:p>
    <w:p>
      <w:r>
        <w:rPr>
          <w:b/>
        </w:rPr>
        <w:t xml:space="preserve">Quelle: </w:t>
      </w:r>
      <w:r>
        <w:t>https://mcp.opencaselaw.ch/entscheid/bger_4A_510_2018</w:t>
      </w:r>
    </w:p>
    <w:p>
      <w:r>
        <w:t>FR: TF 4A 510/2018 du 7 mai 2019</w:t>
      </w:r>
    </w:p>
    <w:p>
      <w:r>
        <w:t>IT: TF 4A 510/2018 del 7 maggio 2019</w:t>
      </w:r>
    </w:p>
    <w:p>
      <w:pPr>
        <w:pStyle w:val="Heading2"/>
      </w:pPr>
      <w:r>
        <w:t>Regeste</w:t>
      </w:r>
    </w:p>
    <w:p>
      <w:r>
        <w:t>Markenrecht; Firmenrecht; Namensrecht | Immaterialgüter-, Wettbewerbs- und Kartellrecht</w:t>
      </w:r>
    </w:p>
    <w:p>
      <w:pPr>
        <w:pStyle w:val="Heading2"/>
      </w:pPr>
      <w:r>
        <w:t>Erwägungen</w:t>
      </w:r>
    </w:p>
    <w:p>
      <w:r>
        <w:rPr>
          <w:b/>
        </w:rPr>
        <w:t>E. 1</w:t>
      </w:r>
    </w:p>
    <w:p>
      <w:r>
        <w:t>Die Beschwerde betrifft eine Zivilsache ( Art. 72 BGG ) und richtet sich gegen den Endentscheid ( Art. 90 BGG ) eines oberen kantonalen Gerichts, das als Fachgericht in Handelssachen bzw. einzige Instanz im Sinne von Art. 5 ZPO entschieden hat ( Art. 75 Abs. 2 lit. a und b BGG ), die Beschwerdeführerin ist mit ihren Anträgen teilweise unterlegen ( Art. 76 BGG ), ein Streitwert ist nicht erforderlich ( Art. 74 Abs. 2 lit. b BGG ) und die Frist ist eingehalten ( Art. 100, 46 Abs. 1 lit. b BGG ). Auf die Beschwerde ist unter Vorbehalt hinreichender Begründung (Art. 42 Abs. 2 und 106 Abs. 2 BGG) einzutreten.</w:t>
      </w:r>
    </w:p>
    <w:p>
      <w:r>
        <w:rPr>
          <w:b/>
        </w:rPr>
        <w:t>E. 1.1</w:t>
      </w:r>
    </w:p>
    <w:p>
      <w:r>
        <w:t>Das Bundesgericht wendet das Recht von Amtes wegen an ( Art. 106 Abs. 1 BGG ; vgl. dazu BGE 132 II 257 E. 2.5 S. 262; BGE 130 III 136 E. 1.4 S. 140).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133 II 249 E. 1.4.1 S. 254).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140 III 86 E. 2, 115 E. 2 S. 116).</w:t>
      </w:r>
    </w:p>
    <w:p>
      <w:r>
        <w:rPr>
          <w:b/>
        </w:rPr>
        <w:t>E. 1.2</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Überdies muss die Behebung des Mangels für den Ausgang des Verfahrens entscheidend sein ( Art. 97 Abs. 1 BGG ). Für eine Kritik am festgestellten Sachverhalt gilt das strenge Rügeprinzip von Art. 106 Abs. 2 BGG ( BGE 140 III 264 E. 2.3 S. 266 mit Hinweisen). Genügt die Kritik diesen Anforderungen nicht, können Vorbringen mit Bezug auf einen Sachverhalt, der vom angefochtenen Entscheid abweicht, nicht berücksichtigt werden ( BGE 140 III 16 E. 1.3.1 S. 18).</w:t>
      </w:r>
    </w:p>
    <w:p>
      <w:r>
        <w:rPr>
          <w:b/>
        </w:rPr>
        <w:t>E. 2</w:t>
      </w:r>
    </w:p>
    <w:p>
      <w:r>
        <w:t>Art. 3 Abs. 1 lit. c des Bundesgesetzes vom 28. August 1992 über den Schutz von Marken und Herkunftsangaben (Markenschutzgesetz, MSchG; SR 232.11) versagt einem Zeichen den Markenschutz, wenn es einer älteren Marke ähnlich und für gleiche oder gleichartige Waren oder Dienstleistungen bestimmt ist, so dass sich daraus eine Verwechslungsgefahr ergibt.</w:t>
      </w:r>
    </w:p>
    <w:p>
      <w:r>
        <w:rPr>
          <w:b/>
        </w:rPr>
        <w:t>E. 2.1</w:t>
      </w:r>
    </w:p>
    <w:p>
      <w:r>
        <w:t>Die Gefahr der Verwechslung im Sinne von Art. 3 Abs. 1 MSchG besteht, wenn das jüngere Zeichen die ältere Marke in ihrer Unterscheidungsfunktion beeinträchtigt. Eine solche Beeinträchtigung ist gegeben, falls zu befürchten ist, dass die massgebenden Verkehrskreise sich durch die Ähnlichkeit des Zeichens irreführen lassen und Waren oder Dienstleistungen, die das eine oder das andere Zeichen tragen, dem falschen Markeninhaber zurechnen (unmittelbare Verwechslungsgefahr), oder falls das Publikum die Zeichen zwar auseinander zu halten vermag, aufgrund ihrer Ähnlichkeit aber falsche Zusammenhänge vermutet, insbesondere an Serienmarken denkt, welche verschiedene Produktelinien des gleichen Unternehmens oder von mehreren, wirtschaftlich verbundenen Unternehmen kennzeichnen (mittelbare Verwechslungsgefahr; vgl. BGE 129 III 353 E. 3.3 S. 359; 128 III 96 E. 2a; 118 II 322 E. 1 S. 324; je mit Hinweisen). Für die Verwechselbarkeit von Marken ist der Gesamteindruck massgebend, den sie in der Erinnerung der Adressaten hinterlassen ( BGE 128 III 441 E. 3.1; 121 III 377 E. 2a S. 378; Urteil 4A_83/2018 1. Oktober 2018 E. 4.1). Je stärker sich ein Zeichen im Verkehr durchgesetzt hat, desto grösser ist sein Schutzumfang und je näher sich die Waren sind, für welche die Marken registriert sind, desto grösser wird das Risiko von Verwechslungen und desto stärker muss sich das jüngere Zeichen vom älteren abheben, um die Verwechslungsgefahr zu bannen ( BGE 128 III 441 E. 3.1 S. 446; 122 III 382 E. 2a S. 385, E. 3a S. 387). Ob eine Gefahr der Verwechslung besteht, prüft das Bundesgericht als Rechtsfrage ( BGE 134 III 547 E. 2.3; 128 III 96 E. 2; 126 III 315 E. 4b). Insbesondere prüft es frei, wie der massgebende Kreis der Adressaten für die beanspruchten Waren oder Dienstleistungen abzugrenzen ist und - bei Gütern des allgemeinen Bedarfs - wie die Adressaten aufgrund der erwarteten Aufmerksamkeit das Zeichen wahrnehmen ( BGE 134 III 547 E. 2.3).</w:t>
      </w:r>
    </w:p>
    <w:p>
      <w:r>
        <w:rPr>
          <w:b/>
        </w:rPr>
        <w:t>E. 2.2</w:t>
      </w:r>
    </w:p>
    <w:p>
      <w:r>
        <w:t>Die Vorinstanz hat die prioritären Marken der Beschwerdegegnerin 1 mit den streitgegenständlichen Marken der Beschwerdeführerin als verwechselbar erachtet, soweit diese nicht für "tapis, paillassons, nattes; tentures murales autres qu'en matières textiles" beansprucht werden. Nach Definierung des Adressatenkreises erwog die Vorinstanz, die beiden Zeichen würden weitgehend identisch klingen, auch die Schriftbilder beider Zeichen würden sich ähneln und es sei kein Sinngehalt der beiden Zeichen erkennbar, womit die Zeichenähnlichkeit und auch die Verwechslungsgefahr zu bejahen sei. Die Vorinstanz hat überdies verneint, dass der Wortbestandteil im Rahmen der beiden Wortbildmarken der Beschwerdeführerin seine prägende Kraft einbüsse, zumal das bildliche Element jeweils kennzeichnungsschwach sei. Angesichts der Zeichenähnlichkeit hat die Vorinstanz die jüngeren Kennzeichen der Beschwerdeführerin für gleichartige Waren und Dienstleistungen als nicht schutzfähig erachtet. Die Gleichartigkeit von Baumaterialien der Klasse 19 mit Dienstleistungen im Bauwesen, Reparatur- und Installationsarbeiten der Klasse 37 hat das Gericht bejaht, weil aus Sicht der Abnehmer damit ein sinnvolles Leistungspaket dargestellt werde. Nach den Erwägungen im angefochtenen Entscheid ist es marktüblich, wenn ein Unternehmen, welches Abdichtungs- und Maurerarbeiten ausführt, auch sämtliches für die Ausführungen dieser Arbeiten nötige Baumaterial liefert. Entsprechend hat die Vorinstanz die Gleichartigkeit der im Verzeichnis der Beschwerdegegnerin beanspruchten Dienstleistungen der Klasse 37 mit den von der Beklagten beanspruchten Waren der Klasse 19 und der Klasse 27 - mit den erwähnten Ausnahmen - bejaht. Den Einwand der Beschwerdeführerin, die Marken der Beschwerdegegnerin seien nicht gebraucht worden, verwarf das Handelsgericht.</w:t>
      </w:r>
    </w:p>
    <w:p>
      <w:r>
        <w:rPr>
          <w:b/>
        </w:rPr>
        <w:t>E. 2.3</w:t>
      </w:r>
    </w:p>
    <w:p>
      <w:r>
        <w:t>Die Beschwerdeführerin rügt, die Vorinstanz habe Art. 3 Abs. 1 lit. c MSchG falsch angewendet, indem sie einen rechtserhaltenden Gebrauch der Marken der Beschwerdegegnerin 1 aktenwidrig und willkürlich bejaht habe, eine erhöhte Aufmerksamkeit der Adressaten verneint und auf Verwechslungsgefahr erkannte sowie indem sie schliesslich die beanspruchten Dienstleistungen und Waren als gleichartig erachtete.</w:t>
      </w:r>
    </w:p>
    <w:p>
      <w:r>
        <w:rPr>
          <w:b/>
        </w:rPr>
        <w:t>E. 2.3.1</w:t>
      </w:r>
    </w:p>
    <w:p>
      <w:r>
        <w:t>Die Marke ist - nach Ablauf der gesetzlichen Schonfrist von fünf Jahren (vgl. Art. 12 Abs. 1 MSchG ) - nur soweit geschützt, als sie im Zusammenhang mit den Waren und Dienstleistungen, für die sie beansprucht wird, auch tatsächlich gebraucht wird (vgl. Art. 11 Abs. 1 MSchG ). Der Gegenstand der Markenbenutzung hat dabei mit dem Gegenstand des Markenschutzes übereinzustimmen. Die Marke ist daher grundsätzlich so zu benutzen, wie sie im Register eingetragen ist, weil sie nur so den kennzeichnenden Eindruck zu bewirken vermag, der ihren Funktionen entspricht ( BGE 139 III 424 E. 2.2.2; 130 III 267 E. 2.4 S. 271 mit Hinweisen). Allerdings lässt Art. 11 Abs. 2 MSchG den Gebrauch in einer von der Eintragung nicht wesentlich abweichenden Form als rechtserhaltend gelten. Entscheidend ist dabei, dass der kennzeichnende Kern der Marke, der das markenspezifische Gesamtbild prägt, seiner Identität nicht beraubt wird, dass trotz der abweichenden Benutzung der kennzeichnende Charakter der Marke gewahrt bleibt. Dies ist nach bundesgerichtlicher Rechtsprechung nur der Fall, wenn der Verkehr das abweichend benutzte Zeichen auch bei Wahrnehmung der Unterschiede aus dem Gesamteindruck mit der eingetragenen Marke gleichsetzt, d.h. in der benutzten Form noch dieselbe Marke sieht. Zu fragen ist daher, ob der Verkehr Eintragung und Benutzungsform als ein und dasselbe Zeichen ansieht und den geänderten, zugefügten oder weggelassenen Bestandteilen keine eigene kennzeichnende Wirkung beimisst. Die Anforderungen an die Zeichenidentität im Kernbereich der Marke sind dabei wesentlich strenger als bei der Beurteilung der Verwechselbarkeit ( BGE 139 III 424 E. 2.2.2; 130 III 267 E. 2.4 S. 271). Schliesslich setzt der rechtserhaltende Gebrauch nicht voraus, dass der Markeninhaber das Zeichen selbst im Zusammenhang mit den beanspruchten Waren oder Dienstleistungen benutzt. Der Gebrauch der Marke mit seiner Zustimmung gilt als Gebrauch durch ihn selbst ( Art. 11 Abs. 3 MSchG ).</w:t>
      </w:r>
    </w:p>
    <w:p>
      <w:r>
        <w:rPr>
          <w:b/>
        </w:rPr>
        <w:t>E. 2.3.1.1</w:t>
      </w:r>
    </w:p>
    <w:p>
      <w:r>
        <w:t>Die Vorinstanz hat zunächst festgestellt, dass die Beschwerdegegnerinnen 2 bis 11 aufgrund des Konzernverhältnisses die Marken der Beschwerdegegnerin 1 mit deren Zustimmung benützen, so dass deren Gebrauch als rechtserhaltend gilt. Die Vorinstanz konnte dementsprechend die von den Beschwerdegegnerinnen eingereichten Beweismittel ohne Weiteres als Beweise für rechtserhaltenden Gebrauch würdigen. Entgegen der Ansicht der Beschwerdeführerin war sie nicht gehalten, im Einzelnen darzulegen, welche Unternehmen dieser Konzerngruppe die Marken konkret gebrauchten.</w:t>
      </w:r>
    </w:p>
    <w:p>
      <w:r>
        <w:rPr>
          <w:b/>
        </w:rPr>
        <w:t>E. 2.3.1.2</w:t>
      </w:r>
    </w:p>
    <w:p>
      <w:r>
        <w:t>Nach dem Beweisergebnis der Vorinstanz hat die Konzerngruppe die Marken der Beschwerdegegnerin 1 rechtserhaltend gebraucht. Die Vorinstanz hat namentlich aufgrund der ins Recht gelegten Visitenkarten, der Homepage der Firmengruppe und der Firmenpräsentation festgestellt, dass die Marken im Zusammenhang mit den angebotenen Dienstleistungen für Abdichtungsarbeiten und für Maurerarbeiten gebraucht werden, und die Marken auch auf Fahrzeugen und Gebäuden der Beschwerdegegnerinnen angebracht sind. Die Beschwerdeführerin vermag diese Feststellung, wonach mit den auf den Beweismitteln angebrachten Zeichen für Abdichtungsarbeiten und Maurerarbeiten (Klasse 37) geworben wird, nicht als willkürlich auszuweisen (vgl. vorstehend E. 1.2) mit der Behauptung, entgegen der Feststellung der Vorinstanz betreffe keines dieser Beweismittel Dienstleistungen der Klasse 37.</w:t>
      </w:r>
    </w:p>
    <w:p>
      <w:r>
        <w:rPr>
          <w:b/>
        </w:rPr>
        <w:t>E. 2.3.1.3</w:t>
      </w:r>
    </w:p>
    <w:p>
      <w:r>
        <w:t>Die Vorinstanz hat sodann festgestellt, dass die Marke "TECTON (fig.) " gemäss dem Registereintrag mit dem Zusatz "MACHT BAUTEN DICHT" verwendet wird. Entgegen der Ansicht der Beschwerdeführerin hat sie zutreffend geschlossen, dass mit diesem beschreibend-anpreisenden Zusatz der prägende Kern der Marke, nämlich der Wortbestandteil TECTON, seiner Identität nicht beraubt wird. Mit anderen Worten ist davon auszugehen, dass der Verkehr das abweichend benutzte Zeichen auch bei Wahrnehmung der Unterschiede aus dem Gesamteindruck mit der eingetragenen Marke gleichsetzt, d.h. es im Sinne der Rechtsprechung in der benutzten Form als das ein und dasselbe Zeichen ansieht. Entgegen dem, was den Ausführungen der Beschwerdeführerin entnommen werden könnte, ist von den Beschwerdegegnerinnen nicht zu fordern, dass sie eigentliches Marketing betreiben, sondern einzig, dass sie die Marken tatsächlich benutzen; entscheidend ist mit anderen Worten der markenmässige Gebrauch im Sinne von Art. 11 MSchG . Es bestehen keine Anhaltspunkte dafür, dass der Gebrauch der Marke auf Visitenkarten, Homepage, Firmenpräsentation, Fahrzeugen und Gebäuden nicht ernsthaft wäre. Die Vorinstanz hat die Beweise nicht willkürlich gewürdigt und kein Bundesrecht verletzt mit dem Schluss, dass die Marken "TECTON" und "TECTON (fig.) " der Beschwerdegegnerin 1 für die Dienstleistungen der "Tecton-Gruppe" im Bereich der Abdichtungsarbeiten und Maurerarbeiten gebraucht wurden.</w:t>
      </w:r>
    </w:p>
    <w:p>
      <w:r>
        <w:rPr>
          <w:b/>
        </w:rPr>
        <w:t>E. 2.3.2</w:t>
      </w:r>
    </w:p>
    <w:p>
      <w:r>
        <w:t>Die Vorinstanz hat den Adressatenkreis für die mit den Marken "TECTON" und "TECTON (fig.) " angebotenen Abdichtungs- und Maurerarbeiten definiert als private oder öffentliche Abnehmer der Bauwirtschaft, welche die Leistungen der Klägerinnen häufig über einen Architekten in Anspruch nehmen und keine besondere Aufmerksamkeit an den Tag legen. Weder das Angebot der Beschwerdegegnerinnen noch dasjenige der Beschwerdeführerin wendet sich ausschliesslich an Fachleute. Die Beschwerdeführerin bemerkt zwar zutreffend, dass die von den Beschwerdegegnerinnen im Bereich des Bauwesens angebotenen Dienstleistungen nicht den alltäglichen Bedarf betreffen. Wenn sie daraus auf eine leicht erhöhte Aufmerksamkeit der Adressaten schliessen will, mag dies zutreffen. Allerdings kann ihr nicht gefolgt werden, wenn sie aus diesem Grund die Gefahr der Verwechslung für ausgeschlossen hält.</w:t>
      </w:r>
    </w:p>
    <w:p>
      <w:r>
        <w:rPr>
          <w:b/>
        </w:rPr>
        <w:t>E. 2.3.3</w:t>
      </w:r>
    </w:p>
    <w:p>
      <w:r>
        <w:t>Die Vorinstanz hat im angefochtenen Entscheid die direkte Verwechslungsgefahr zutreffend bejaht. Die beiden Zeichen bzw. die (prägenden) Zeichenbestandteile TECTON und DEKTON sind sowohl optisch wie klanglich derart ähnlich, dass sie auch bei leicht erhöhter Aufmerksamkeit verwechselt, z.B. als blosse Fehlschreibungen aufgefasst werden können. Werden daher unter diesen Kennzeichen gleichartige Produkte angeboten, so ist die Verwechslungsgefahr ohne Weiteres gegeben mit der Folge, dass dem neueren Zeichen der Markenschutz zu versagen ist.</w:t>
      </w:r>
    </w:p>
    <w:p>
      <w:r>
        <w:rPr>
          <w:b/>
        </w:rPr>
        <w:t>E. 2.3.4</w:t>
      </w:r>
    </w:p>
    <w:p>
      <w:r>
        <w:t>Gleichartigkeit zwischen Dienstleistungen einerseits und Waren anderseits ist namentlich dann anzunehmen, wenn eine marktübliche Verknüpfung in dem Sinn besteht, dass beide Produkte typischerweise vom selben Unternehmen als einheitliches Leistungspaket angeboten werden (vgl. EUGEN MARBACH, SIWR, Bd. III/1 Markenrecht, 2. Aufl. 2009, S. 264 Rz. 859, GALLUS JOLLER, in: Noth/Bühler/Thouvenin [Hrsg.], Markenschutzgesetz [MSchG], 2. Aufl. 2017, Rz. 336 ff. zu Art. 3 MSchG ).</w:t>
      </w:r>
    </w:p>
    <w:p>
      <w:r>
        <w:rPr>
          <w:b/>
        </w:rPr>
        <w:t>E. 2.3.4.1</w:t>
      </w:r>
    </w:p>
    <w:p>
      <w:r>
        <w:t>Die Vorinstanz hat festgehalten, dass Baumaterialien als Waren der Klasse 19 einerseits und Bauwesen, Reparatur- und Installationsarbeiten als Dienstleistungen der Klasse 37 anderseits aus der Sicht der Abnehmer ein sinnvolles Leistungspaket darstellten, weshalb in der Regel Gleichartigkeit zu bejahen sei. Konkret hat sie festgestellt, dass es für ein Unternehmen, welches Abdichtungs- und Maurerarbeiten ausführt, marktüblich sei, auch sämtliches Baumaterial zu liefern, das für diese Arbeiten benötigt wird. Sie hat aus diesem Grund die von der Beschwerdeführerin für ihre Kennzeichen in Klasse 19 beanspruchten Baumaterialien und die in Klasse 27 beanspruchten Boden- und Wandbeläge, soweit sie der Abdichtung dienen können, als gleichartig mit den von der Beschwerdegegnerin 1 in Klasse 37 beanspruchten Baudienstleistungen angesehen.</w:t>
      </w:r>
    </w:p>
    <w:p>
      <w:r>
        <w:rPr>
          <w:b/>
        </w:rPr>
        <w:t>E. 2.3.4.2</w:t>
      </w:r>
    </w:p>
    <w:p>
      <w:r>
        <w:t>Die gegenteilige Behauptung der Beschwerdeführerin, die jeweilige Dienstleistung stehe in keinem notwendigen Zusammenhang mit den Waren und es bestünden keine relevanten Berührungspunkte, vermag die Würdigung der Vorinstanz nicht als rechtsfehlerhaft auszuweisen. Die Vorinstanz hat die Gleichartigkeit zwischen den Dienstleistungen der Beschwerdegegnerinnen und den Waren der Beschwerdeführerin ohne Bundesrechtsverletzung bejaht - unbesehen darum, dass die Beschwerdegegnerinnen nach den verbindlichen Feststellungen der Vorinstanz den Gebrauch ihrer Marken für die von ihr beanspruchten Waren der Klasse 19 nicht nachgewiesen haben. Soweit die Beschwerdegegnerinnen diese Feststellung in ihrer Antwort als falsch rügen, genügen sie den Rügeanforderungen nicht, weshalb sie damit nicht zu hören sind.</w:t>
      </w:r>
    </w:p>
    <w:p>
      <w:r>
        <w:rPr>
          <w:b/>
        </w:rPr>
        <w:t>E. 2.3.5</w:t>
      </w:r>
    </w:p>
    <w:p>
      <w:r>
        <w:t>Die Vorinstanz hat Art. 3 Abs. 1 lit. c MSchG zutreffend angewendet. Sie hat insoweit die Nichtigkeit des schweizerischen Teils der internationalen Marken der Beschwerdeführerin rechtskonform festgestellt. Die Beschwerde ist unbegründet, soweit sie sich gegen Ziffern 1 bis 3 des angefochtenen Entscheides richtet.</w:t>
      </w:r>
    </w:p>
    <w:p>
      <w:r>
        <w:rPr>
          <w:b/>
        </w:rPr>
        <w:t>E. 3</w:t>
      </w:r>
    </w:p>
    <w:p>
      <w:r>
        <w:t>Das Markenrecht verleiht dem Inhaber nach Art. 13 Abs. 1 MSchG das ausschliessliche Recht, die Marke zur Kennzeichnung der Produkte zu gebrauchen, für die sie beansprucht wird. Er kann gemäss Art. 13 Abs. 2 MSchG anderen verbieten, ein Zeichen zu gebrauchen, das nach Art. 3 Abs. 1 MSchG vom Markenschutz ausgeschlossen ist. Die Vorinstanz hat der Beschwerdeführerin namentlich gestützt auf diese Bestimmung in Ziffer 4 des angefochtenen Entscheids verboten, ihr Zeichen in bestimmter Weise zu gebrauchen. Soweit die Beschwerdeführerin dagegen einwendet, die Vorinstanz hätte mangels Angaben zur geographischen und sachlichen Ausdehnung der Tätigkeiten der Beschwerdegegnerinnen den markenrechtlichen Unterlassungsanspruch der Beschwerdegegnerin 1 nicht schützen dürfen, ist ihr Vorbringen nicht nachvollziehbar. Der markenrechtliche Unterlassungsanspruch im Sinne von Art. 13 Abs. 2 MSchG steht der Markeninhaberin aufgrund ihrer Eintragung im Markenregister und damit bei gegebenen Voraussetzungen für die ganze Schweiz zu. Die Beschwerde ist abzuweisen, soweit sie sich gegen das zugunsten der Beschwerdegegnerin 1 erlassene Verbot in Dispositiv-Ziffer 4 des angefochtenen Urteils richtet.</w:t>
      </w:r>
    </w:p>
    <w:p>
      <w:r>
        <w:rPr>
          <w:b/>
        </w:rPr>
        <w:t>E. 4</w:t>
      </w:r>
    </w:p>
    <w:p>
      <w:r>
        <w:t>Nach Art. 956 Abs. 1 OR steht die im Handelsregister eingetragene und im Schweizerischen Handelsamtsblatt veröffentlichte Firma einer Handelsgesellschaft dem Berechtigten zum ausschliesslichen Gebrauch zu. Wer durch unbefugten Gebrauch einer Firma beeinträchtigt ist, kann auf Unterlassung der weiteren Führung der Firma und bei Verschulden auf Schadenersatz klagen ( Art. 956 Abs. 2 OR ).</w:t>
      </w:r>
    </w:p>
    <w:p>
      <w:r>
        <w:rPr>
          <w:b/>
        </w:rPr>
        <w:t>E. 4.1</w:t>
      </w:r>
    </w:p>
    <w:p>
      <w:r>
        <w:t>Die Vorinstanz hat die Behauptung der Beschwerdegegnerinnen als korrekt erachtet, dass die Beschwerdeführerin das Zeichen DEKTON auch firmenmässig benutze. Da dieses Zeichen mit dem Zeichenbestandteil TECTON verwechselbar ist, den sämtliche Beschwerdegegnerinnen in ihren Firmen prägend führen, hielt die Vorinstanz den firmenrechtlichen Unterlassungsanspruch für ausgewiesen und verbot der Beschwerdeführerin in Ziffer 5 des Urteilsdispositivs, das Zeichen DEKTON firmenmässig bzw. zur Kennzeichnung eines Unternehmens zu benutzen.</w:t>
      </w:r>
    </w:p>
    <w:p>
      <w:r>
        <w:rPr>
          <w:b/>
        </w:rPr>
        <w:t>E. 4.2</w:t>
      </w:r>
    </w:p>
    <w:p>
      <w:r>
        <w:t>Die Beschwerdeführerin bestreitet, dass sie das Zeichen DEKTON auf ihrer Webseite firmenmässig gebrauche, da es sich bei der Bezeichnung DEKTON Schweiz nicht um eine Unternehmensbezeichnung handle, die nach Vorschriften der Firmenbildung gebildet worden sei; es handle sich vielmehr um einen Hinweis auf ein Angebot in der Schweiz unter der Marke DEKTON.</w:t>
      </w:r>
    </w:p>
    <w:p>
      <w:r>
        <w:rPr>
          <w:b/>
        </w:rPr>
        <w:t>E. 4.3</w:t>
      </w:r>
    </w:p>
    <w:p>
      <w:r>
        <w:t>Die Beschwerdeführerin übergeht mit diesen Ausführungen, dass die Anfügung des Wortes "Schweiz" hinter einem Zeichen üblicherweise einer ausländischen Gesellschaft dazu dient, ihre inländische Tochtergesellschaft oder Niederlassung zu bezeichnen. Insofern hat die Vorinstanz kein Bundesrecht verletzt mit der Annahme, die Beschwerdeführerin gebrauche das Zeichen DEKTON firmenmässig.</w:t>
      </w:r>
    </w:p>
    <w:p>
      <w:r>
        <w:rPr>
          <w:b/>
        </w:rPr>
        <w:t>E. 4.4</w:t>
      </w:r>
    </w:p>
    <w:p>
      <w:r>
        <w:t>Soweit die Beschwerdeführerin gegen den Unterlassungsanspruch aus Firmenrecht schliesslich einwendet, mangels Beweises der sachlichen Ausdehnung der Tätigkeiten der Beschwerdegegnerinnen hätte die Vorinstanz zum Schluss gelangen müssen, dass die Beschwerdegegnerinnen keine Ansprüche aus Firmenrecht geltend machen könnten, verkennt sie, dass der firmenrechtliche Schutz einer Handelsgesellschaft für die ganze Schweiz besteht ( Art. 951 Abs. 1 OR i.V.m. Art. 956 OR ; vgl. dazu BGE 131 III 572 E. 3 S. 575; 122 III 369 E. 1 S. 370; Urteil 4a_45/2012 vom 12. Juli 2012 E. 3.2.1).</w:t>
      </w:r>
    </w:p>
    <w:p>
      <w:r>
        <w:rPr>
          <w:b/>
        </w:rPr>
        <w:t>E. 5</w:t>
      </w:r>
    </w:p>
    <w:p>
      <w:r>
        <w:t>Das Urteil der Vorinstanz stützt sich zutreffend auf das MSchG ( Art. 3 Abs. 1 lit. c MSchG ), soweit es in Dispositiv-Ziffern 1-4 die Klage der Beschwerdegegnerin 1 schützt und es stützt sich zutreffend auf das Firmenrecht des OR ( Art. 951 Abs. 1 OR i.V.m. Art. 956 OR ), soweit es in Dispositiv-Ziffer 5 die Klage sämtlicher Beschwerdegegnerinnen auf Unterlassung des firmenmässigen Gebrauchs des Zeichens DEKTON schützt. Bei diesem Ergebnis erscheint fraglich, ob die Beschwerdeführerin noch ein Interesse an der Beurteilung hat, ob den Beschwerdegegnerinnen auch ein namensrechtlicher Anspruch zustehe, der zur Gutheissung ihrer Begehren führen könnte.</w:t>
      </w:r>
    </w:p>
    <w:p>
      <w:r>
        <w:rPr>
          <w:b/>
        </w:rPr>
        <w:t>E. 5.1</w:t>
      </w:r>
    </w:p>
    <w:p>
      <w:r>
        <w:t>Nachdem jedoch die Vorinstanz in Dispositiv-Ziffer 4 des angefochtenen Entscheids den Beschwerdegegnerinnen 3-11 ausdrücklich einen je territorial beschränkten Unterlassungsanspruch zusätzlich zum markenrechtlichen Unterlassungsanspruch der Beschwerdegegnerin 1 zugesprochen hat, ist zu prüfen, ob dieser territorial beschränkte Unterlassungsanspruch gestützt auf Namensrecht ausgewiesen ist. Die Beschwerdeführerin bestreitet dies. Sie rügt als Verletzung von Art. 55 Abs. 1 ZPO , Art. 8 ZGB und Art. 9 BV zunächst, dass die Vorinstanz ohne Weiteres angenommen habe, die Beschwerdegegnerinnen 3-11 seien zumindest in denjenigen Gemeinden tätig, in denen sie ihren Sitz oder Zweigniederlassungen hätten und sie würden dort tatsächlich Tätigkeiten gemäss dem Zweck des Handelsregistereintrags ausüben. Sie bringt vor, es komme bezüglich des Namensschutzes auf die tatsächlichen Verhältnisse an und diese seien von den Beschwerdegegnerinnen nicht behauptet worden.</w:t>
      </w:r>
    </w:p>
    <w:p>
      <w:r>
        <w:rPr>
          <w:b/>
        </w:rPr>
        <w:t>E. 5.2</w:t>
      </w:r>
    </w:p>
    <w:p>
      <w:r>
        <w:t>Ein Anspruch auf Namensschutz gemäss Art. 29 Abs. 2 ZGB setzt voraus, dass die Namensanmassung den Namensträger beeinträchtigt. Eine solche Beeinträchtigung liegt nach bundesgerichtlicher Rechtsprechung vor, wenn die Aneignung des Namens seitens eines Dritten die Gefahr einer Verwechslung oder Täuschung bewirkt oder wenn sie geeignet ist, zufolge einer blossen Gedankenassoziation in der Meinung des Publikums eine in Wirklichkeit nicht bestehende Beziehung zwischen dem bisherigen Träger des Namens und dem anmassenden Dritten herzustellen. Eine Beeinträchtigung kann somit darin liegen, dass ein Namensträger durch Gedankenverbindungen in nicht vorhandene Beziehungen hineingestellt wird, die er ablehnt und vernünftigerweise auch ablehnen darf ( BGE 128 III 353 E. 4 S. 358 f., 401 E. 5 S. 403 mit Hinweisen; Urteile 4A_45/2012 vom 12. Juli 2012 E. 4.1; 4C.360/2005 vom 12. Januar 2006 E. 3.1, in: sic! 2006 S. 480; JdT 2007 I 210). Als Namensanmassung wird nicht nur die unberechtigte Verwendung des vollen Namens eines anderen betrachtet, sondern bereits die Übernahme des Hauptbestandteils eines solchen, wenn dies zu einer Verwechslungsgefahr führt ( BGE 128 III 353 E. 4 S. 358; 127 III 33 E. 4; 116 II 463 E. 3b; vgl. zum Ganzen auch Urteil 4A_590/2018 vom 25. März 2019 E. 3.1).</w:t>
      </w:r>
    </w:p>
    <w:p>
      <w:r>
        <w:rPr>
          <w:b/>
        </w:rPr>
        <w:t>E. 5.3</w:t>
      </w:r>
    </w:p>
    <w:p>
      <w:r>
        <w:t>Die Vorinstanz führt zwar zutreffend aus, dass dem Schutz des Namens als Persönlichkeitsrecht von Gesetzes wegen keine zum Voraus bestimmten Grenzen gesetzt werden, womit sich der sachliche und örtliche Schutzumfang des Namensrechts nach dem konkreten Gebrauch dieses Namens und dessen tatsächlichen Auswirkungen richtet ( BGE 102 II 161 E. 4a S. 168; 90 II 461 E. 2 S. 466; Urteil 4C.360/2005 vom 12. Januar 2006 E. 3.1). Nach den Feststellungen der Vorinstanz stellten die Beschwerdegegnerinnen lediglich Behauptungen zu den Tätigkeiten der "Tecton-Gruppe" auf, womit sie ihrer Substanziierungspflicht für die konkrete Tätigkeit der einzelnen Beschwerdegegnerinnen weder in sachlicher noch örtlicher Hinsicht nachgekommen sind. Da es für den Umfang des Namensschutzes auf die tatsächliche Tätigkeit in einem bestimmten Gebiet bzw. für die Gefahr der Verwechslung auf den Kontakt mit bestimmten Adressaten ankommt, kann entgegen der Auffassung der Vorinstanz jedoch nicht auf den Handelsregistereintrag abgestellt werden. Der Handelsregisterauszug selbst ist zwar eine gerichtsnotorische Tatsache im Sinne von Art. 151 ZPO , er sagt indessen nichts darüber aus, ob die Gesellschaft am Ort ihres Sitzes ihren statuarischen Zweck auch tatsächlich ausübt. Die Beschwerdegegnerinnen wenden nicht ein, die Vorinstanz sei insoweit in Willkür verfallen, als sie ihre hinreichenden Behauptungen zu ihren je einzelnen Tätigkeiten übergangen hätte. Sie stellen sich einzig auf den unzutreffenden Standpunkt, sie hätten mit dem Hinweis auf Baustellen in der ganzen Schweiz ihrer Substanziierungspflicht genügt. Es kann offen bleiben, ob sie Schutz für einen gemeinsamen Handelsnamen in der ganzen Schweiz beanspruchen könnten. Denn für den Nachweis der Art des Namensgebrauchs genügt entgegen der Ansicht der Beschwerdegegnerinnen der pauschale Hinweis auf mehrere tausend Baustellen von der Westschweiz bis Romanshorn und von Basel bis ins Tessin nicht. Um den Umfang des schutzwürdigen Interesses zu bestimmen, bedarf es vielmehr konkreter Behauptungen zu den unter einem bestimmten Namen ausgeführten Tätigkeiten und zu den unter diesem Namen mit anderen Personen gepflegten Kontakten. Da es daran für die einzelnen Beschwerdegegnerinnen nach den verbindlichen Feststellungen der Vorinstanz fehlt, ist deren Unterlassungsklage in Dispositiv-Ziffer 4 des angefochtenen Urteils zu Unrecht gutgeheissen worden. Die Vorinstanz hat Art. 29 Abs. 2 ZGB sowie Art. 151 ZPO verletzt, indem sie vom Handelsregisterauszug auf die tatsächlichen Tätigkeitsgebiete der Beschwerdegegnerinnen schloss und in der Folge eine Namensanmassung bejahte, ohne geprüft zu haben, inwiefern die Namensträgerinnen ihren Namen im entsprechenden Gebiet überhaupt benutzten und dementsprechend beeinträchtigt sein könnten. Entgegen den Rügen der Beschwerdeführerin hat die Vorinstanz hiermit indessen weder die Verhandlungsmaxime ( Art. 55 ZPO ), die Beweislastverteilung ( Art. 8 ZGB ) noch das Willkürverbot ( Art. 9 BV ) verletzt.</w:t>
      </w:r>
    </w:p>
    <w:p>
      <w:r>
        <w:rPr>
          <w:b/>
        </w:rPr>
        <w:t>E. 5.4</w:t>
      </w:r>
    </w:p>
    <w:p>
      <w:r>
        <w:t>Die Beschwerde ist insoweit teilweise gutzuheissen, als in Ziffer 4 des angefochtenen Urteils im letzten Absatz erklärt wird, dieses Verbot gelte im Verhältnis der Klägerinnen 3 bis 11 jeweils nur eingeschränkt. Der letzte Absatz dieser Dispositiv-Ziffer ist ersatzlos aufzuheben. Es versteht sich von selbst, dass der markenrechtliche Unterlassungsanspruch nur der Beschwerdegegnerin 1 zusteht.</w:t>
      </w:r>
    </w:p>
    <w:p>
      <w:r>
        <w:rPr>
          <w:b/>
        </w:rPr>
        <w:t>E. 6</w:t>
      </w:r>
    </w:p>
    <w:p>
      <w:r>
        <w:t>Die Beschwerde ist in sehr untergeordnetem Umfang gutzuheissen, welcher an den materiellen Rechten und Pflichten der Beschwerdeführerin nichts ändert und damit weder eine andere Verlegung der kantonalen Kosten noch eine Berücksichtigung bei der Kostenverteilung für das bundesgerichtliche Verfahren rechtfertigt. Die Gerichtskosten sind vielmehr vollständig der Beschwerdeführerin aufzuerlegen ( Art. 66 Abs. 1 BGG ). Sie hat den Beschwerdegegnerinnen eine geringfügig reduzierte Parteienschädigung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