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50/2022 vom 24. Juni 2022</w:t>
      </w:r>
    </w:p>
    <w:p>
      <w:r>
        <w:t>Bundesgericht, 2022-06-24, FR</w:t>
      </w:r>
    </w:p>
    <w:p>
      <w:r>
        <w:rPr>
          <w:b/>
        </w:rPr>
        <w:t xml:space="preserve">Quelle: </w:t>
      </w:r>
      <w:r>
        <w:t>https://mcp.opencaselaw.ch/entscheid/bger_4A_50_2022</w:t>
      </w:r>
    </w:p>
    <w:p>
      <w:r>
        <w:t>FR: TF 4A 50/2022 du 24 juin 2022</w:t>
      </w:r>
    </w:p>
    <w:p>
      <w:r>
        <w:t>IT: TF 4A 50/2022 del 24 giugno 2022</w:t>
      </w:r>
    </w:p>
    <w:p>
      <w:pPr>
        <w:pStyle w:val="Heading2"/>
      </w:pPr>
      <w:r>
        <w:t>Regeste</w:t>
      </w:r>
    </w:p>
    <w:p>
      <w:r>
        <w:t>contrat de bail à loyer indexé; majoration de loyer,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46 al. 1 let . c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En revanche, le recourant ne saurait introduire des faits ou moyens de preuve qu'il a négligé de soumettre aux autorités cantonales ( ATF 136 III 123 consid. 4.4.3).</w:t>
      </w:r>
    </w:p>
    <w:p>
      <w:r>
        <w:rPr>
          <w:b/>
        </w:rPr>
        <w:t>E. 2.4</w:t>
      </w:r>
    </w:p>
    <w:p>
      <w:r>
        <w:t>La recourante a produit les règles et usages locatifs genevois, dans leur édition de 1978. Elle soutient qu'il s'agit d'un fait notoire, de sorte qu'elle pourrait s'en prévaloir. Cette pièce, et les faits qu'elle atteste, ne ressortent pas de l'état de fait de l'arrêt attaqué, alors que le Tribunal fédéral doit se fonder sur la base des faits constatés par l'instance précédente. De plus, ils ne relèvent manifestement pas de l'exception prévue à l' art. 99 al. 1 LTF . Ainsi, devant le Tribunal fédéral, la recourante ne peut alléguer pour la première fois un fait - qu'il soit notoire ou non - et produire une pièce attestant de ce fait. Il n'en sera donc pas tenu compte.</w:t>
      </w:r>
    </w:p>
    <w:p>
      <w:r>
        <w:rPr>
          <w:b/>
        </w:rPr>
        <w:t>E. 3</w:t>
      </w:r>
    </w:p>
    <w:p>
      <w:r>
        <w:t>Il y a toutefois lieu d'examiner si, comme le soutient la recourante, la Cour d'appel aurait dû tenir compte de cette pièce.</w:t>
      </w:r>
    </w:p>
    <w:p>
      <w:r>
        <w:rPr>
          <w:b/>
        </w:rPr>
        <w:t>E. 3.1</w:t>
      </w:r>
    </w:p>
    <w:p>
      <w:r>
        <w:t>Conformément à l' art. 269b CO , les parties peuvent, à deux conditions, conclure un bail à loyer indexé en convenant d'une clause d'indexation: (1) le bail doit être conclu pour une période de cinq ans au moins et (2) l'indice d'indexation est l'ISPC. Selon la jurisprudence, il est exclu de par la loi de prévoir d'autres facteurs d'adaptation du loyer, à moins que la majoration ne soit justifiée par des prestations supplémentaires du bailleur et que le contrat de bail n'ait réservé expressément cette possibilité ( ATF 147 III 32 consid. 3.1; ATF 124 III 57 consid. 3a).</w:t>
      </w:r>
    </w:p>
    <w:p>
      <w:r>
        <w:rPr>
          <w:b/>
        </w:rPr>
        <w:t>E. 3.2</w:t>
      </w:r>
    </w:p>
    <w:p>
      <w:r>
        <w:t>En substance, la recourante soutient que les parties étaient convenues de la possibilité de majorer le loyer en cas de prestations supplémentaires de la bailleresse. Sur cette base, elle se prévaut de différents arguments.</w:t>
      </w:r>
    </w:p>
    <w:p>
      <w:r>
        <w:rPr>
          <w:b/>
        </w:rPr>
        <w:t>E. 3.2.1</w:t>
      </w:r>
    </w:p>
    <w:p>
      <w:r>
        <w:t>En vertu du principe de l'épuisement des griefs, le recours au Tribunal fédéral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4A_40/2021 du 10 juin 2021 consid. 3.2; 5A_451/2020 du 31 mars 2021 consid. 2.3 et les références citées). 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l'appelé,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A moins que la violation du droit ne soit manifeste, la cour cantonale se limitera en principe à examiner les griefs que les parties adressent à la motivation du premier jugement dans le mémoire et dans la réponse ( ATF 144 III 394 consid. 4.1.4; arrêt 4A_40/2021 précité et les références).</w:t>
      </w:r>
    </w:p>
    <w:p>
      <w:r>
        <w:rPr>
          <w:b/>
        </w:rPr>
        <w:t>E. 3.2.2</w:t>
      </w:r>
    </w:p>
    <w:p>
      <w:r>
        <w:t>En l'occurrence, dans son appel déposé auprès de la cour cantonale, la locataire a allégué que les parties n'avaient prévu aucune possibilité pour la bailleresse de majorer le loyer en cours de bail en sus de l'évolution de l'ISPC. Dans son mémoire de réponse à l'appel et appel joint, la bailleresse n'a pas abordé ce point. Elle n'a pas allégué que les parties avaient effectivement prévu cette possibilité, ni allégué le renvoi, dans le contrat de bail, aux règles et usages locatifs genevois dans leur édition de 1978, ni produit ces derniers. Les juges cantonaux n'ont ainsi pas examiné cela. Dès lors, les griefs formulés par la recourante devant le Tribunal fédéral ne sont pas admissibles au regard du principe de l'épuisement des griefs.</w:t>
      </w:r>
    </w:p>
    <w:p>
      <w:r>
        <w:rPr>
          <w:b/>
        </w:rPr>
        <w:t>E. 4</w:t>
      </w:r>
    </w:p>
    <w:p>
      <w:r>
        <w:t>A titre superfétatoire, on peut ajouter que la recourante ne s'en prend pas au fait que la cour cantonale a tenu compte de l'allégation précitée formée pour la première fois en appel par la locataire. Elle reproche uniquement aux juges cantonaux de ne pas l'avoir expressément invitée à compléter ses moyens de preuve en lien avec cette allégation. Elle dénonce à cet égard une violation de la maxime inquisitoire sociale consacrée à l' art. 55 al. 2 CPC , dans la mesure où ils n'ont pas fait usage, à son égard, de leur devoir d'interpellation accru. Toutefois, même lorsque cette maxime s'applique, le tribunal peut et doit faire preuve de retenue, comme dans un procès soumis à la procédure ordinaire, si les parties sont représentées par un avocat ( ATF 141 III 569 consid. 2.3.1 et les références). En l'occurrence, la recourante était représentée par un avocat tant au stade de la première instance que devant la cour cantonale. Au demeurant, l'allégation précitée était soulevée de manière claire par la locataire appelante. Il appartenait ainsi à la bailleresse d'invoquer d'elle-même, dans sa réponse à l'appel, ses allégués et ses moyens de preuve en lien avec cette allégation. Par ailleurs, puisque les règles et usages locatifs genevois, dans leur édition de 1978, ainsi que le renvoi à leur égard prévu dans le contrat de bail, n'ont pas été invoqués, la cour cantonale n'avait pas à en tenir compte. Sur la base des faits constatés, on ne saurait lui reprocher d'avoir enfreint l' art. 151 CPC en ne prenant pas en considération de prétendus faits notoires, étant au demeurant précisé qu'à tout le moins, le renvoi précité ne constitue en aucun cas un fait notoire. Bien que la recourante ne l'invoque pas, on doit encore souligner que les juges de première instance n'ont pas non plus violé le droit fédéral en ne tenant pas compte de ces éléments. La bailleresse demanderesse devait alléguer et prouver ses moyens en temps utile. Le fait qu'ils reposeraient sur de prétendus faits notoires ne dispense pas le demandeur qui est assisté d'un avocat de les invoquer devant le premier juge, même lorsque la maxime inquisitoire sociale est applicable (cf. arrêt 4A_376/2021 du 7 janvier 2022 consid. 4.2.2). Enfin, lorsque la recourante tire de l'avis de majoration de loyer du 22 février 2012 le droit d'augmenter le loyer, elle perd de vue que, selon la jurisprudence en matière de bail à loyer indexé, une majoration du loyer justifiée par des prestations supplémentaires n'est autorisée que si le contrat de bail prévoit cette possibilité.</w:t>
      </w:r>
    </w:p>
    <w:p>
      <w:r>
        <w:rPr>
          <w:b/>
        </w:rPr>
        <w:t>E. 5</w:t>
      </w:r>
    </w:p>
    <w:p>
      <w:r>
        <w:t>En définitive, le recours doit être rejeté, pour autant qu'il soit recevable. La recourante, qui succombe, prendra en charge les frais judiciaires ( art. 66 al. 1 LTF ). Elle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