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50/2020 vom 1. Juli 2020</w:t>
      </w:r>
    </w:p>
    <w:p>
      <w:r>
        <w:t>Bundesgericht, 2020-07-01, FR</w:t>
      </w:r>
    </w:p>
    <w:p>
      <w:r>
        <w:rPr>
          <w:b/>
        </w:rPr>
        <w:t xml:space="preserve">Quelle: </w:t>
      </w:r>
      <w:r>
        <w:t>https://mcp.opencaselaw.ch/entscheid/bger_4A_50_2020</w:t>
      </w:r>
    </w:p>
    <w:p>
      <w:r>
        <w:t>FR: TF 4A 50/2020 du 1 juillet 2020</w:t>
      </w:r>
    </w:p>
    <w:p>
      <w:r>
        <w:t>IT: TF 4A 50/2020 del 1 luglio 2020</w:t>
      </w:r>
    </w:p>
    <w:p>
      <w:pPr>
        <w:pStyle w:val="Heading2"/>
      </w:pPr>
      <w:r>
        <w:t>Regeste</w:t>
      </w:r>
    </w:p>
    <w:p>
      <w:r>
        <w:t>contrat de travail; résiliation | Droit des contrats</w:t>
      </w:r>
    </w:p>
    <w:p>
      <w:pPr>
        <w:pStyle w:val="Heading2"/>
      </w:pPr>
      <w:r>
        <w:t>Erwägungen</w:t>
      </w:r>
    </w:p>
    <w:p>
      <w:r>
        <w:rPr>
          <w:b/>
        </w:rPr>
        <w:t>E. 1</w:t>
      </w:r>
    </w:p>
    <w:p>
      <w:r>
        <w:t>Les conditions de recevabilité du recours en matière civile sont en principe satisfaites, notamment à raison de la valeur litigieuse. Le recours est recevable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Il est constant que les parties se sont liées par un contrat de travail de durée indéterminée, librement résiliable par chacune d'elles conformément à l' art. 335 al. 1 CO , moyennant le respect du délai et du terme de congé convenus ou légaux. La résiliation ordinaire du contrat de travail est abusive lorsqu'elle intervient dans l'une des situations énumérées à l' art. 336 al. 1 CO , lesquelles se rapportent aux motifs de la partie qui résilie. Cette disposition restreint, pour chaque cocontractant, le droit de mettre unilatéralement fin au contrat ( ATF 136 III 513 consid. 2.3 p. 514/515; 132 III 115 consid. 2.4 p. 118; 131 III 535 consid. 4.2 p. 539 in medio). Lorsque l'une des parties a résilié abusivement, l' art. 336a al. 1 et 2 CO autorise l'autre partie à réclamer une indemnité dont le juge fixe librement le montant en tenant compte de toutes les circonstances; cette indemnité ne peut toutefois pas excéder l'équivalent de six mois de salaire. L'énumération de l' art. 336 al. 1 CO n'est pas exhaustive et un abus du droit de résiliation peut se révéler aussi dans d'autres situations qui apparaissent comparables, par leur gravité, aux hypothèses expressément visées ( ATF 136 III 513 ibidem; 132 III 115 consid. 2 p. 116; 131 III 535 consid. 4 p. 537). Ainsi, 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 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 ATF 132 III 115 consid. 2 p. 116; ATF 131 III 535 consid. 4 p. 537; 125 III 70 consid. 2 p. 72).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 art. 328 al. 1 CO , en relation avec le licenciement, peut caractériser l'abus. Par contre, un comportement de l'employeur simplement discourtois ou indélicat est insuffisant car il ne ressortit pas à l'ordre juridique de sanctionner ces attitudes (mêmes arrêts).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 ATF 130 III 699 consid. 4.1 p. 702/703).</w:t>
      </w:r>
    </w:p>
    <w:p>
      <w:r>
        <w:rPr>
          <w:b/>
        </w:rPr>
        <w:t>E. 3</w:t>
      </w:r>
    </w:p>
    <w:p>
      <w:r>
        <w:t>La demanderesse a réclamé une indemnité de 42'840 fr. correspondant à six mois de salaire. Le Tribunal civil a jugé que le congé était abusif dans son motif et aussi dans ses modalités; il a alloué une indemnité de 21'420 fr. correspondant à trois mois. La Cour d'appel juge que le congé n'était pas abusif dans son motif et elle réforme le jugement sur ce point; elle confirme en revanche que le congé était abusif dans ses modalités et elle réduit l'indemnité à 7'140 fr. correspondant à un mois. Parce que seule la demanderesse attaque le jugement d'appel, il est définitivement établi que le congé était abusif dans ses modalités. En l'état de la contestation, celle-ci a pour seul objet, outre le libellé du certificat de travail, d'élucider si le congé était abusif aussi dans son motif, et si l'indemnité doit être en conséquence évaluée à plus d'un mois de salaire.</w:t>
      </w:r>
    </w:p>
    <w:p>
      <w:r>
        <w:rPr>
          <w:b/>
        </w:rPr>
        <w:t>E. 4</w:t>
      </w:r>
    </w:p>
    <w:p>
      <w:r>
        <w:t>Selon la thèse de la demanderesse, un conflit personnel s'est élevé entre elle et W.________ dès la séance de cadres de la fin de l'année 2013, et ce conflit se trouve à l'origine du congé litigieux. Elle a sans succès réclamé l'intervention du service des ressources humaines, lequel s'est borné à assister, par l'une de ses collaboratrices, à l'entretien du 30 octobre 2014. Le respect et la protection de sa personnalité nécessitaient prétendument une intervention plus profonde qui a été omise; la défenderesse l'a par conséquent licenciée abusivement. A l'issue d'une discussion détaillée des documents produits et des témoignages recueillis, la Cour d'appel parvient à la conclusion que W.________ agissait certes de manière blessante et irrespectueuse, mais que l'ensemble des cadres qui lui étaient rattachés subissaient la même attitude. Il n'existait donc pas de conflit particulier entre lui et la demanderesse. Celle-ci tient ce jugement pour arbitraire. Elle développe une nouvelle discussion et elle propose sa propre analyse des éléments examinés par les juges d'appel. Le Tribunal fédéral n'y discerne guère sur quels points elle leur reproche réellement, sinon par de simples protestations ou dénégations, d'avoir commis une erreur certaine ou d'être parvenus à un résultat absolument insoutenable. L'argumentation ainsi présentée tend seulement à substituer une appréciation différente de celle de l'autorité précédente; elle est par conséquent irrecevable au regard de la jurisprudence ci-mentionnée relative à l' art. 97 al. 1 LTF . La demanderesse relève avec pertinence que la Cour d'appel ne constate pas explicitement le motif du congé avancé par la défenderesse et jugé conforme à la vérité. Il est toutefois constant que lors de l'entretien du 30 octobre 2014, W.________ a reproché à la demanderesse une gestion excessivement laxiste de l'équipe placée sous sa responsabilité. Le 10 du même mois, il avait dénoncé un manque dans les heures de travail accomplies. Il est aussi établi que pendant la période d'absence de la demanderesse qui a précédé le congé, W.________ a découvert que celle-ci avait accumulé un important retard dans le classement de documents confidentiels; cela n'est pas non plus contesté de manière recevable. De toute évidence, W.________ était donc insatisfait du travail de la demanderesse. Or, il n'est pas abusif de licencier un travailleur au motif que ses prestations ne répondent pas aux exigences de ses supérieurs. La demanderesse ne peut pas opposer utilement qu'elle était appréciée de ses collaborateurs car ce n'est pas à ceux-ci qu'il appartenait de fixer les exigences à satisfaire.</w:t>
      </w:r>
    </w:p>
    <w:p>
      <w:r>
        <w:rPr>
          <w:b/>
        </w:rPr>
        <w:t>E. 5</w:t>
      </w:r>
    </w:p>
    <w:p>
      <w:r>
        <w:t>En application de l' art. 330a al. 1 CO , la défenderesse a établi un certificat de travail final le 30 septembre 2016. Dans ce texte, la Cour d'appel ordonne la suppression d'une phrase qu'elle juge dépourvue d'objectivité; pour le surplus, elle retient que la demanderesse n'a pas apporté la preuve de faits justifiant l'exigence d'un document au libellé différent, ni la preuve de prestations d'une qualité supérieure à la moyenne. La demanderesse reprend et poursuit la discussion devant le Tribunal fédéral. A ce sujet également, elle n'avance aucun argument apte à révéler un vice certain dans l'appréciation des preuves. Elle ne tente pas non plus de démontrer une application éventuellement incorrecte des principes juridiques auxquels la Cour d'appel devait se référer.</w:t>
      </w:r>
    </w:p>
    <w:p>
      <w:r>
        <w:rPr>
          <w:b/>
        </w:rPr>
        <w:t>E. 6</w:t>
      </w:r>
    </w:p>
    <w:p>
      <w:r>
        <w:t>Le recours se révèle privé de fondement, dans la mesure où les griefs présentés sont recevables. A titre de partie qui succombe, son auteure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