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4A_50/2017 vom 11. Juli 2017</w:t>
      </w:r>
    </w:p>
    <w:p>
      <w:r>
        <w:t>Bundesgericht, 2017-07-11, FR</w:t>
      </w:r>
    </w:p>
    <w:p>
      <w:r>
        <w:rPr>
          <w:b/>
        </w:rPr>
        <w:t xml:space="preserve">Quelle: </w:t>
      </w:r>
      <w:r>
        <w:t>https://mcp.opencaselaw.ch/entscheid/bger_4A_50_2017</w:t>
      </w:r>
    </w:p>
    <w:p>
      <w:r>
        <w:t>FR: TF 4A_50/2017 du 11 juillet 2017</w:t>
      </w:r>
    </w:p>
    <w:p>
      <w:r>
        <w:t>IT: TF 4A_50/2017 del 11 luglio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 mémoire qu'elles ont adressé au Tribunal fédéral, les recourantes ont employé le français, respectant ainsi l' art. 42 al. 1 LTF en liaison avec l' art. 70 al. 1 Cst. ( ATF 142 III 521 consid.1).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les recourantes ou encore des griefs soulevés dans le mémoire de recours, aucune de ces conditions de recevabilité ne fait problème en l'espèce. Rien ne s'oppose donc à l'entrée en matière.</w:t>
      </w:r>
    </w:p>
    <w:p>
      <w:r>
        <w:rPr>
          <w:b/>
        </w:rPr>
        <w:t>E. 2.2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w:t>
      </w:r>
    </w:p>
    <w:p>
      <w:r>
        <w:t>C'est à l'aune de ces principes qu'il convient d'examiner maintenant les moyens soulevés par les recourantes.</w:t>
      </w:r>
    </w:p>
    <w:p>
      <w:r>
        <w:rPr>
          <w:b/>
        </w:rPr>
        <w:t>E. 3</w:t>
      </w:r>
    </w:p>
    <w:p>
      <w:r>
        <w:t>Dans un premier moyen, les recourantes reprochent au Tribunal arbitral d'avoir statué</w:t>
      </w:r>
    </w:p>
    <w:p>
      <w:r>
        <w:t>ultra petita .</w:t>
      </w:r>
    </w:p>
    <w:p>
      <w:r>
        <w:rPr>
          <w:b/>
        </w:rPr>
        <w:t>E. 3.1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w:t>
      </w:r>
    </w:p>
    <w:p>
      <w:r>
        <w:t>ultra ou</w:t>
      </w:r>
    </w:p>
    <w:p>
      <w:r>
        <w:t>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w:t>
      </w:r>
    </w:p>
    <w:p>
      <w:r>
        <w:t>ne eat iudex ultra petita partium s'il donne à une demande une autre qualification juridique que celle qui a été présentée par le demandeur. Le principe</w:t>
      </w:r>
    </w:p>
    <w:p>
      <w:r>
        <w:t>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(arrêts 4A_678/2016 du 22 mars 2016 consid. 3.2.1 et 4A_440/2010 du 7 janvier 2011 consid. 3.1, non publié, de l' ATF 137 III 85 ).</w:t>
      </w:r>
    </w:p>
    <w:p>
      <w:r>
        <w:rPr>
          <w:b/>
        </w:rPr>
        <w:t>E. 3.2</w:t>
      </w:r>
    </w:p>
    <w:p>
      <w:r>
        <w:t>L'intimée a demandé au Tribunal arbitral de condamner les recourantes à lui payer la somme de 4'679'150 euros ainsi que les intérêts moratoires calculés sur les trois éléments constitutifs de cette somme (3'110'000 euros, 1'098'405 euros et 470'745 euros). Elle a obtenu en partie gain de cause puisque le Tribunal arbitral a mis à la charge des recourantes les sommes de 3'110'000 euros (ch. 2 du dispositif de la sentence) et de 784'575 euros (ch. 4 du dispositif de la sentence), intérêts en sus, soit un total de 3'894'575 euros, qui est inférieur à ce qu'elle réclamait.</w:t>
      </w:r>
    </w:p>
    <w:p>
      <w:r>
        <w:t>Cependant, les recourantes font grief au Tribunal arbitral de s'être arrogé la faculté de procéder aux constatations qu'il a faites sous ch. 1 et 3 du dispositif de sa sentence. A les en croire, les arbitres seraient sortis du cadre de la demande qui leur était soumise en constatant, en sus des condamnations pécuniaires prononcées par eux, que les recourantes, s'agissant du projet V.________, avaient violé le contrat de conseils y afférent en omettant de verser à l'intimée les commissions en souffrance après avoir payé sans réserve les deux premières factures (ch. 1 du dispositif de la sentence) et, relativement au projet W.________, qu'elles avaient violé le contrat de conseils s'y rapportant en ne versant aucune commission à l'intimée, cette dernière se voyant également imputer par le Tribunal arbitral une violation dudit contrat pour ne pas avoir fourni de preuves adéquates des services fournis par elle (ch. 3 du dispositif de la sentence). Selon les recourantes, il n'y avait aucun motif justifiant d'intégrer pareilles constatations dans le dispositif de la sentence, d'autant moins que l'intimée n'avait jamais fait valoir une violation des contrats de conseils, mais avait uniquement invoqué son droit au paiement de la rémunération stipulée dans ceux-ci. Les recourantes ajoutent qu'elles peinent à discerner l'intérêt que l'intimée pouvait avoir aux constatations litigieuses, dès lors qu'elle s'était vu allouer une grande partie des montants réclamés par elle et que ces constatations n'ont aucune portée propre. A les en croire, il n'y avait donc aucune nécessité à assortir les condamnations pécuniaires d'une déclaration "aussi superflue qu'inadéquate".</w:t>
      </w:r>
    </w:p>
    <w:p>
      <w:r>
        <w:t>Par conséquent, la sentence attaquée devrait être annulée, sur la base de l' art. 190 al. 2 let . c LDIP, sinon dans sa totalité, du moins en ce qui concerne les deux constatations incriminées.</w:t>
      </w:r>
    </w:p>
    <w:p>
      <w:r>
        <w:rPr>
          <w:b/>
        </w:rPr>
        <w:t>E. 3.3</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w:t>
      </w:r>
    </w:p>
    <w:p>
      <w:r>
        <w:t>Force est de donner raison à l'intimée, sur la base de cette jurisprudence, lorsqu'elle dénie aux recourantes tout intérêt à l'admission du grief considéré. De fait, conclure à l'annulation - même partielle - d'une sentence pour l'unique raison que son dispositif contient des constatations superflues et sans aucune portée propre ne répond à aucun intérêt digne de protection. Les explications avancées par les recourantes dans leur réplique, en vue de justifier un procédé qui confine à la témérité, ne sont du reste pas recevables comme on l'a rappelé plus haut (cf. consid. 2.2. in fine).</w:t>
      </w:r>
    </w:p>
    <w:p>
      <w:r>
        <w:t>A le supposer recevable, le grief en question ne pourrait d'ailleurs qu'être rejeté. En effet, loin de statuer au-delà des demandes qui lui étaient soumises, le Tribunal arbitral a prononcé des condamnations pécuniaires pour un total qui reste en deçà de la somme réclamée par l'intimée. Certes, il a inclus - sans doute à tort - dans le dispositif de sa sentence la constatation du motif de chacune des deux condamnations prononcées. Il n'y a cependant pas là de quoi justifier l'intervention du Tribunal fédéral au titre d'une prétendue violation de l' art. 190 al. 2 let . c LDIP. Aussi bien, une telle constatation, qui figure déjà dans les motifs de la sentence, ne porte pas spécifiquement préjudice aux recourantes, sans compter que, pour partie, elle vise aussi l'intimée. En cela, elle se distingue, pour ne citer qu'un seul exemple, de la constatation de culpabilité faite à l'égard d'une personne exemptée de toute peine ( ATF 119 IV 44 consid. 1a et les arrêts cités). Quant au subtil distinguo que les recourantes tentent de faire entre l'inexécution et la violation des contrats de conseils, il n'a pas sa place dans ce contexte, tant il est vrai que l'on ne voit pas ce qu'il y aurait d'erroné à qualifier de violation du contrat le refus injustifié du mandant de payer les honoraires du courtier.</w:t>
      </w:r>
    </w:p>
    <w:p>
      <w:r>
        <w:rPr>
          <w:b/>
        </w:rPr>
        <w:t>E. 4</w:t>
      </w:r>
    </w:p>
    <w:p>
      <w:r>
        <w:t>Dans un second moyen, divisé en deux branches, les recourantes font valoir que la sentence attaquée serait incompatible avec l'ordre public matériel ( art. 190 al. 2 let . e LDIP).</w:t>
      </w:r>
    </w:p>
    <w:p>
      <w:r>
        <w:rPr>
          <w:b/>
        </w:rPr>
        <w:t>E. 4.1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4.2</w:t>
      </w:r>
    </w:p>
    <w:p>
      <w:r>
        <w:t>En premier lieu, les recourantes font grief au Tribunal arbitral d'avoir violé le principe de la fidélité contractuelle.</w:t>
      </w:r>
    </w:p>
    <w:p>
      <w:r>
        <w:rPr>
          <w:b/>
        </w:rPr>
        <w:t>E. 4.2.1</w:t>
      </w:r>
    </w:p>
    <w:p>
      <w:r>
        <w:t>Le principe en question,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4A_532/2016 du 30 mai 2017 consid. 3.2.2 et les précédents cités).</w:t>
      </w:r>
    </w:p>
    <w:p>
      <w:r>
        <w:rPr>
          <w:b/>
        </w:rPr>
        <w:t>E. 4.2.2</w:t>
      </w:r>
    </w:p>
    <w:p>
      <w:r>
        <w:t>Se référant aux motifs de la sentence concernant le projet W.________, tels qu'ils ont été résumés sous let. B.c du présent arrêt, les recourantes soutiennent que le Tribunal arbitral se serait écarté de sa propre conclusion quant à la non-réalisation de la condition suspensive liant les parties en décidant, au terme d'un raisonnement empreint de considérations d'équité plutôt que juridiques, d'allouer à l'intimée la moitié des honoraires réclamés par elle. A les en croire, le Tribunal arbitral aurait ainsi abouti à une conclusion incompatible avec la constatation préalable selon laquelle la condition suspensive, que constituait la fourniture des preuves touchant les services rendus et dont dépendait le droit de l'intimée aux honoraires stipulés dans le contrat de conseils relatif au projet W.________, n'était pas réalisée en l'espèce. En faisant fi de cette constatation préalable, il ne se serait pas avisé de ce qu'une condition suspensive ne peut pas être partiellement annulée ou partiellement remplie, ni n'aurait démontré du reste en quoi le comportement de l'une des parties au contrat serait susceptible d'affecter pareille condition. Rien de tel, en tout cas, ne pourrait être déduit de l'opinion émise par JOSEF HOFSTETTER dans l'ouvrage de doctrine précité, non plus que de l'arrêt mentionné dans la sentence.</w:t>
      </w:r>
    </w:p>
    <w:p>
      <w:r>
        <w:t>En argumentant de la sorte, les recourantes tentent vainement de remettre en cause, sous couvert du grief d'incompatibilité de la sentence avec l'ordre public matériel, les considérations juridiques sur lesquelles le Tribunal arbitral s'est fondé pour les condamner à verser à l'intimée la somme de 784'575 euros, intérêts en sus, représentant la moitié des honoraires portés en compte pour l'exécution du contrat de conseils relatif au projet W.________. Le sens restrictif de la notion jurisprudentielle de la fidélité contractuelle, qui constitue l'un des éléments de l'ordre public matériel visé par l' art. 190 al. 2 let . e LDIP, semble leur avoir totalement échappé. De fait, il n'importe que le Tribunal arbitral ait pu méconnaître, le cas échéant, les conséquences</w:t>
      </w:r>
    </w:p>
    <w:p>
      <w:r>
        <w:t>juridiques qu'il convient d'attacher à une condition suspensive ou qu'il se soit reposé, par hypothèse à tort, sur la doctrine et la jurisprudence citées par lui pour étayer son argumentation sur ce point. Ce qui est décisif, en revanche, c'est qu'il a tiré de l'application, correcte ou non, des règles de droit jugées pertinentes par lui aux faits qu'il avait souverainement constatés une conclusion précise qu'il a reprise dans le dispositif de sa sentence. En bref, le Tribunal arbitral, par un raisonnement juridique faisant appel à son pouvoir d'appréciation et non sur la base de simples motifs d'équité, a dit pourquoi il estimait que l'intimée avait droit à la moitié des honoraires qu'elle réclamait, ensuite de quoi il a condamné les recourantes à verser à leur cocontractante le 50% de ceux-ci. En d'autres termes, les arbitres n'ont pas condamné</w:t>
      </w:r>
    </w:p>
    <w:p>
      <w:r>
        <w:t>ex aequo et bono les recourantes au paiement d'une dette qu'ils auraient jugée inexistante, mais les ont reconnues débitrices d'une partie des honoraires de l'intimée parce qu'elles avaient adopté un comportement ayant eu pour conséquence, sous l'angle des règles de la bonne foi, d'atténuer partiellement les effets de la non-réalisation de la condition suspensive dont était assorti le droit de l'intimée à sa rémunération pour les conseils prodigués aux intéressées dans le cadre du projet W.________.</w:t>
      </w:r>
    </w:p>
    <w:p>
      <w:r>
        <w:t>Il suit de là que le moyen pris de la violation du principe</w:t>
      </w:r>
    </w:p>
    <w:p>
      <w:r>
        <w:t>pacta sunt servanda tombe manifestement à faux.</w:t>
      </w:r>
    </w:p>
    <w:p>
      <w:r>
        <w:rPr>
          <w:b/>
        </w:rPr>
        <w:t>E. 4.3</w:t>
      </w:r>
    </w:p>
    <w:p>
      <w:r>
        <w:t>En second lieu, les recourantes soutiennent que la sentence attaquée serait incompatible avec l'ordre public matériel du fait qu'elle leur ordonne d'effectuer en faveur de l'intimée des paiements qui ne seraient pas conformes à leurs "règles de compliance (sic) " en matière de lutte contre la corruption et qui les exposeraient par là même à de lourdes sanctions pénales.</w:t>
      </w:r>
    </w:p>
    <w:p>
      <w:r>
        <w:rPr>
          <w:b/>
        </w:rPr>
        <w:t>E. 4.3.1</w:t>
      </w:r>
    </w:p>
    <w:p>
      <w:r>
        <w:t>Force est de souligner, à titre liminaire, que de tels arguments ont été avancés de manière récurrente par l'une ou l'autre des sociétés du groupe X.________, depuis quelques années déjà, devant le Tribunal fédéral, pour justifier leur refus d'honorer tout ou partie de leurs dettes à l'égard de diverses sociétés de conseils grâce auxquelles elles avaient obtenu l'adjudication de marchés lucratifs à l'étranger (cf. arrêts 4A_69/2009 du 8 avril 2009, 4A_213/2014 du 23 septembre 2014, 4A_247/2014 du 23 septembre 2014, 4A_532,534/2014 du 29 janvier 2015 et 4A_136/2016 du 3 novembre 2016). Tel fut, en particulier, le cas des recourantes, représentées par les mêmes avocats que ceux qui l'assistent dans la présente procédure de recours, dans la cause ayant donné lieu au prononcé du dernier arrêt cité. Cette insistance à reprendre systématiquement des arguments qui ont chaque fois été écartés par la Ire Cour de droit civil ne laisse pas d'étonner, et l'on peut raisonnablement se demander si elle est encore compatible avec les règles de la bonne foi. Point n'est, toutefois, besoin d'approfondir la chose dès lors que les arguments soumis aujourd'hui à la Cour de céans n'apparaissent pas plus fondés que ceux qu'elle a écartés dans les arrêts précités.</w:t>
      </w:r>
    </w:p>
    <w:p>
      <w:r>
        <w:rPr>
          <w:b/>
        </w:rPr>
        <w:t>E. 4.3.2</w:t>
      </w:r>
    </w:p>
    <w:p>
      <w:r>
        <w:t>Les promesses de versement de pots-de-vin, d'après la conception juridique suisse, sont contraires aux moeurs et, partant, nulles en raison du vice affectant leur contenu. Selon un point de vue confirmé, elles contreviennent également à l'ordre public ( ATF 119 II 380 consid. 4b). Encore faut-il, pour que le grief correspondant puisse être admis, que la corruption soit établie, mais que le Tribunal arbitral ait refusé d'en tenir compte dans sa sentence (arrêt 4A_136/2016, susmentionné, et les précédents cités).</w:t>
      </w:r>
    </w:p>
    <w:p>
      <w:r>
        <w:t>Les recourantes admettent que les deux contrats de conseils ne contiennent aucune promesse de versement de pots-de-vin. Toutefois, il existerait, selon elles, des indices concrets suggérant que l'intimée aurait pu utiliser les sommes qu'elles lui avaient versées pour corrompre des fonctionnaires xxx. Or, le Tribunal arbitral, après avoir analysé les éléments probatoires que les recourantes lui avaient fournis afin d'étayer cette dernière hypothèse, a estimé qu'il n'en ressortait aucun indice de corruption ou d'un autre comportement illégal imputable à l'intimée (sentence, n. 183). Semblable conclusion découle d'une appréciation des preuves que le Tribunal fédéral ne peut pas revoir. Dès lors, les recourantes tentent en pure perte de l'infirmer en passant longuement en revue les indices qui, selon elles, établiraient l'existence d'actes délictueux dont l'intimée et des personnes physiques gravitant autour d'elles se seraient rendues coupables, d'autant plus que pareille démonstration revêt un caractère purement appellatoire et qu'elle a encore été étoffée de manière irrecevable dans la réplique.</w:t>
      </w:r>
    </w:p>
    <w:p>
      <w:r>
        <w:rPr>
          <w:b/>
        </w:rPr>
        <w:t>E. 4.3.3</w:t>
      </w:r>
    </w:p>
    <w:p>
      <w:r>
        <w:t>Pour ce qui est de l'argument tiré de la contrariété entre les paiements que les recourantes seraient tenues de faire au profit de l'intimée et leurs propres "règles de compliance (sic) ", le Tribunal fédéral lui a déjà fait un sort en ces termes au consid. 4.2.2 de l'arrêt 4A_136/2016, précité:</w:t>
      </w:r>
    </w:p>
    <w:p>
      <w:r>
        <w:t>"... les recourantes, en argumentant de la sorte, tentent d'élever au niveau normatif - autrement dit, à celui de la notion d'ordre public matériel que la jurisprudence du Tribunal fédéral a tirée de la disposition légale citée - des règles édictées par un sujet de droit privé et à laisser ainsi à un groupe de sociétés commerciales la faculté de définir cette notion-là. Effectivement, il n'est pas imaginable d'abandonner à un sujet de droit privé, n'ayant de surcroît pas son siège en Suisse, le soin de déterminer, pour reprendre la définition de la notion d'ordre public visée par l' art. 190 al. 2 let . e LDIP, les valeurs essentielles et largement reconnues qui, selon les conceptions prévalant en Suisse, devraient constituer le fondement de tout ordre juridique ( ATF 132 III 389 consid. 2.2.3). "</w:t>
      </w:r>
    </w:p>
    <w:p>
      <w:r>
        <w:t>Il n'y a rien à y ajouter.</w:t>
      </w:r>
    </w:p>
    <w:p>
      <w:r>
        <w:rPr>
          <w:b/>
        </w:rPr>
        <w:t>E. 4.3.4</w:t>
      </w:r>
    </w:p>
    <w:p>
      <w:r>
        <w:t>Enfin, les longues explications des recourantes quant au risque qu'elles courraient de se voir infliger de lourdes sanctions pénales sur la base de la Section 7 du</w:t>
      </w:r>
    </w:p>
    <w:p>
      <w:r>
        <w:t>Bribery Act , au cas où elles s'acquitteraient de leur dette d'honoraires vis-à-vis de l'intimée, s'achoppent déjà à la constatation souveraine du Tribunal arbitral selon laquelle, l'existence d'un acte délictueux (corruption ou autre) commis par l'intimée n'est pas avérée, alors qu'elle constitue une condition d'application de cette législation pénale anglaise. A cet égard, le Tribunal arbitral note, au surplus, qu'aucune enquête ou poursuite n'a encore été initiée à ce jour au sujet du projet litigieux ni, plus généralement, en ce qui concerne l'activité dans le pays A.________ de l'intimée, de ses prédécesseurs ou encore d'entités ou de personnes qui lui sont proches (sentence, n. 214, dernier tiret).</w:t>
      </w:r>
    </w:p>
    <w:p>
      <w:r>
        <w:t>Dans ces conditions, on ne voit pas en quoi le Tribunal arbitral aurait violé l'ordre public matériel au sens de l' art. 190 al. 2 let . e LDIP, dans l'acception restrictive donnée à cette notion par la jurisprudence fédérale, pour avoir condamné les recourantes à s'acquitter de leur dette d'honoraires, conformément au contrat de conseils relatif au projet W.________, et cela sans se préoccuper d'une lointaine et hypothétique sanction pénale que les débitrices pourraient se voir infliger on ne sait quand.</w:t>
      </w:r>
    </w:p>
    <w:p>
      <w:r>
        <w:rPr>
          <w:b/>
        </w:rPr>
        <w:t>E. 4.3.5</w:t>
      </w:r>
    </w:p>
    <w:p>
      <w:r>
        <w:t>Cela étant, le moyen considéré se révèle infondé dans ses deux branches.</w:t>
      </w:r>
    </w:p>
    <w:p>
      <w:r>
        <w:rPr>
          <w:b/>
        </w:rPr>
        <w:t>E. 5</w:t>
      </w:r>
    </w:p>
    <w:p>
      <w:r>
        <w:t>D'où il suit que le présent recours ne peut qu'être rejeté dans la mesure de sa recevabilité. Les recourantes, qui succombent, seront, dès lors, condamnées solidairement à payer les frais de la procédure fédérale ( art. 66 al. 1 et 5 LTF ) et à verser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