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4A_509/2019 vom 5. November 2019</w:t>
      </w:r>
    </w:p>
    <w:p>
      <w:r>
        <w:t>Bundesgericht, 2019-11-05, IT</w:t>
      </w:r>
    </w:p>
    <w:p>
      <w:r>
        <w:rPr>
          <w:b/>
        </w:rPr>
        <w:t xml:space="preserve">Quelle: </w:t>
      </w:r>
      <w:r>
        <w:t>https://mcp.opencaselaw.ch/entscheid/bger_4A_509_2019</w:t>
      </w:r>
    </w:p>
    <w:p>
      <w:r>
        <w:t>FR: TF 4A_509/2019 du 5 novembre 2019</w:t>
      </w:r>
    </w:p>
    <w:p>
      <w:r>
        <w:t>IT: TF 4A_509/2019 del 5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Pretore della Giurisdizione di Mendrisio-Sud ha accolto con sentenza 23 luglio 2018 sia la petizione inoltrata dalla A.________Srl per ottenere la condanna della B.________Sagl al pagamento di euro 19'755.34, sia la domanda riconvenzionale con cui la convenuta ha chiesto di condannare l'attrice a versarle euro 8'610.-- per l'acquisto di due orologi.</w:t>
      </w:r>
    </w:p>
    <w:p>
      <w:r>
        <w:rPr>
          <w:b/>
        </w:rPr>
        <w:t>E. 2</w:t>
      </w:r>
    </w:p>
    <w:p>
      <w:r>
        <w:t>Con sentenza 9 settembre 2019 la II Camera civile del Tribunale di appello del Cantone Ticino ha respinto, nella misura in cui era ricevibile, l'appello con cui la A.________Srl chiedeva la reiezione della domanda riconvenzionale.</w:t>
      </w:r>
    </w:p>
    <w:p>
      <w:r>
        <w:rPr>
          <w:b/>
        </w:rPr>
        <w:t>E. 3</w:t>
      </w:r>
    </w:p>
    <w:p>
      <w:r>
        <w:t>La A.________Srl è insorta al Tribunale federale con ricorso dell'11 ottobre 2019 con cui postula l'annullamento della sentenza cantonale e l'accoglimento dell'appello. Dichiara di impugnare la sentenza cantonale " per un inesatto accertamento dei fatti e violazione di diritto " e che l'atto ricorso " nella denegata ipotesi in cui il ricorso in materia civile non fosse ammissibile " va considerato come un ricorso sussidiario in materia costituzionale.</w:t>
      </w:r>
    </w:p>
    <w:p>
      <w:r>
        <w:t>Non è stato ordinato uno scambio di scritti.</w:t>
      </w:r>
    </w:p>
    <w:p>
      <w:r>
        <w:rPr>
          <w:b/>
        </w:rPr>
        <w:t>E. 4.1</w:t>
      </w:r>
    </w:p>
    <w:p>
      <w:r>
        <w:t>Poiché il valore di lite non raggiunge quello di fr. 30'000.-- previsto dall' art. 74 cpv. 1 lett. b LTF per un ricorso in materia civile, la sentenza impugnata è unicamente suscettiva di un ricorso sussidiario in materia costituzionale.</w:t>
      </w:r>
    </w:p>
    <w:p>
      <w:r>
        <w:t>Con questo rimedio può solo essere censurata la violazione di diritti costituzionali ( art. 116 LTF ), ragione per cui nel gravame, pena la sua inammissibilità, occorre indicare i diritti costituzionali ritenuti violati e spiegare, con un'argomentazione puntuale e precisa attinente alla sentenza impugnata, in cosa consista la pretesa violazione ( art. 106 cpv. 2 LTF richiamato dall' art. 117 LTF ; DTF 136 I 65 consid. 1.3.1; 134 II 244 consid. 2.1). Il ricorrente che intende dolersi di una violazione del divieto dell'arbitrio non può limitarsi a criticare la decisione impugnata come in una procedura d'appello, dove l'autorità di ricorso gode di cognizione libera, opponendo semplicemente la propria opinione a quella dell'autorità cantonale ( DTF 137 V 57 consid. 1.3; 134 II 349 consid. 3).</w:t>
      </w:r>
    </w:p>
    <w:p>
      <w:r>
        <w:rPr>
          <w:b/>
        </w:rPr>
        <w:t>E. 4.2</w:t>
      </w:r>
    </w:p>
    <w:p>
      <w:r>
        <w:t>In concreto il ricorso non soddisfa i predetti requisiti. Infatti la ricorrente, laddove non si limita a lamentare una violazione del CPC (e quindi di una semplice legge federale), si confronta solo in parte con i dettagliati considerandi della sentenza impugnata, propone una propria appellatoria lettura delle risultanze istruttorie e nega in modo apodittico l'incontro, constatato dall'autorità cantonale, avvenuto nel negozio dell'opponente.</w:t>
      </w:r>
    </w:p>
    <w:p>
      <w:r>
        <w:rPr>
          <w:b/>
        </w:rPr>
        <w:t>E. 5</w:t>
      </w:r>
    </w:p>
    <w:p>
      <w:r>
        <w:t>Da quanto precede discende che il ricorso, manifestamente non motivato in modo sufficiente, si rivela inammissibile e va deciso dalla Presidente della Corte adita nella procedura semplificata (combinati art. 117 e 108 cpv. 1 lett. b LTF ). Le spese giudiziarie seguono la soccombenza ( art. 66 cpv. 1 LTF ).</w:t>
      </w:r>
    </w:p>
    <w:p>
      <w:r>
        <w:t>per questi motivi, la Presidente pronuncia:</w:t>
      </w:r>
    </w:p>
    <w:p>
      <w:r>
        <w:t>1.</w:t>
      </w:r>
    </w:p>
    <w:p>
      <w:r>
        <w:t>Il ricorso è inammissibile</w:t>
      </w:r>
    </w:p>
    <w:p>
      <w:r>
        <w:t>2.</w:t>
      </w:r>
    </w:p>
    <w:p>
      <w:r>
        <w:t>Le spese giudiziarie di fr. 500.-- sono poste a carico della ricorrente.</w:t>
      </w:r>
    </w:p>
    <w:p>
      <w:r>
        <w:t>3.</w:t>
      </w:r>
    </w:p>
    <w:p>
      <w:r>
        <w:t>Comunicazione ai patrocinatori delle parti e alla II Camera civile del Tribunale d'appello del Cantone Ticino.</w:t>
      </w:r>
    </w:p>
    <w:p>
      <w:r>
        <w:t>Losanna, 5 novembre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