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4A_509/2018 vom 11. Februar 2019</w:t>
      </w:r>
    </w:p>
    <w:p>
      <w:r>
        <w:t>Bundesgericht, 2019-02-11, FR</w:t>
      </w:r>
    </w:p>
    <w:p>
      <w:r>
        <w:rPr>
          <w:b/>
        </w:rPr>
        <w:t xml:space="preserve">Quelle: </w:t>
      </w:r>
      <w:r>
        <w:t>https://mcp.opencaselaw.ch/entscheid/bger_4A_509_2018</w:t>
      </w:r>
    </w:p>
    <w:p>
      <w:r>
        <w:t>FR: TF 4A_509/2018 du 11 février 2019</w:t>
      </w:r>
    </w:p>
    <w:p>
      <w:r>
        <w:t>IT: TF 4A_509/2018 del 11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4A_509/2018</w:t>
      </w:r>
    </w:p>
    <w:p>
      <w:r>
        <w:t>Ordonnance du 11 février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représentée par Me Christian Canela,</w:t>
      </w:r>
    </w:p>
    <w:p>
      <w:r>
        <w:t>recourante,</w:t>
      </w:r>
    </w:p>
    <w:p>
      <w:r>
        <w:t>contre</w:t>
      </w:r>
    </w:p>
    <w:p>
      <w:r>
        <w:t>Y.________ AG</w:t>
      </w:r>
    </w:p>
    <w:p>
      <w:r>
        <w:t>Z.________ SA, représentées par Me Jean-François Marti,</w:t>
      </w:r>
    </w:p>
    <w:p>
      <w:r>
        <w:t>intimées.</w:t>
      </w:r>
    </w:p>
    <w:p>
      <w:r>
        <w:t>Objet</w:t>
      </w:r>
    </w:p>
    <w:p>
      <w:r>
        <w:t>bail à loyer</w:t>
      </w:r>
    </w:p>
    <w:p>
      <w:r>
        <w:t>recours contre l'arrêt rendu le 12 juillet 2018 par la Chambre des baux et loyers de la Cour de justice du canton de Genève</w:t>
      </w:r>
    </w:p>
    <w:p>
      <w:r>
        <w:t>(C/13273/2017 ACJC/934/2018).</w:t>
      </w:r>
    </w:p>
    <w:p>
      <w:r>
        <w:t>Vu :</w:t>
      </w:r>
    </w:p>
    <w:p>
      <w:r>
        <w:t>la lettre de Me François Marti, conseil des intimées, datée du 11 janvier 2019, selon laquelle la cause est d'après ce conseil devenue sans objet;</w:t>
      </w:r>
    </w:p>
    <w:p>
      <w:r>
        <w:t>la lettre de Me Christian Canela, conseil de la recourante, datée du 17 suivant, selon laquelle ce conseil adhère à l'opinion de l'autre conseil et déclare en tant que de besoin retirer le recours en matière civile;</w:t>
      </w:r>
    </w:p>
    <w:p>
      <w:r>
        <w:t>la lettre de Me Marti du 25 janvier 2019 selon laquelle ses mandantes persistent à réclamer des dépens pour avoir déposé une réponse au recours le 3 janvier 2019;</w:t>
      </w:r>
    </w:p>
    <w:p>
      <w:r>
        <w:t>Considérant :</w:t>
      </w:r>
    </w:p>
    <w:p>
      <w:r>
        <w:t>Que le retrait du recours met fin à la cause;</w:t>
      </w:r>
    </w:p>
    <w:p>
      <w:r>
        <w:t>Que la recourante doit acquitter un émolument judiciaire réduit;</w:t>
      </w:r>
    </w:p>
    <w:p>
      <w:r>
        <w:t>Que les intimées sont fondées à revendiquer des dépens.</w:t>
      </w:r>
    </w:p>
    <w:p>
      <w:r>
        <w:t>Par ces motifs, vu l' art. 32 al. 2 LTF , la Présidente de la Cour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La recourante acquittera un émolument judiciaire de 500 francs.</w:t>
      </w:r>
    </w:p>
    <w:p>
      <w:r>
        <w:t>3.</w:t>
      </w:r>
    </w:p>
    <w:p>
      <w:r>
        <w:t>La recourante versera une indemnité de 3'500 fr. aux intimées, créancières solidaires, à titre de dépens.</w:t>
      </w:r>
    </w:p>
    <w:p>
      <w:r>
        <w:t>4.</w:t>
      </w:r>
    </w:p>
    <w:p>
      <w:r>
        <w:t>La présente ordonnance est communiquée aux parties et à la Cour de justice du canton de Genève.</w:t>
      </w:r>
    </w:p>
    <w:p>
      <w:r>
        <w:t>Lausanne, le 11 février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