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4A_509/2012 vom 8. März 2013</w:t>
      </w:r>
    </w:p>
    <w:p>
      <w:r>
        <w:t>Bundesgericht, 2013-03-08, DE</w:t>
      </w:r>
    </w:p>
    <w:p>
      <w:r>
        <w:rPr>
          <w:b/>
        </w:rPr>
        <w:t xml:space="preserve">Quelle: </w:t>
      </w:r>
      <w:r>
        <w:t>https://mcp.opencaselaw.ch/entscheid/bger_4A_509_2012</w:t>
      </w:r>
    </w:p>
    <w:p>
      <w:r>
        <w:t>FR: TF 4A_509/2012 du 8 mars 2013</w:t>
      </w:r>
    </w:p>
    <w:p>
      <w:r>
        <w:t>IT: TF 4A_509/2012 del 8 marzo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vorliegende Beschwerde richtet sich gegen einen Entscheid über die Führung des Handelsregisters, der gemäss Art. 72 Abs. 2 lit. b Ziff. 2 BGG der Beschwerde in Zivilsachen unterliegt. Als Vorinstanz hat ein oberes Gericht im Kanton letztinstanzlich entschieden ( Art. 75 BGG i.V.m. Art. 165 Abs. 2 HRegV ). Der angefochtene Beschluss schliesst ein Rechtsverweigerungsverfahren betreffend die Anmeldung eines Verzichts auf die Revisionsstelle (opting-out gemäss Art. 727a Abs. 2 OR ) ab und ist demnach als Endentscheid zu qualifizieren ( Art. 90 BGG ). Entgegen den gesetzlichen Vorschriften ( Art. 112 Abs. 1 lit. d BGG ) finden sich im angefochtenen Urteil keine Angaben zum Streitwert. Mit Blick auf die wirtschaftlichen Auswirkungen des opting-outs gemäss Art. 727a Abs. 2 OR kann vorliegend ohne gegenteilige Anhaltspunkte jedoch davon ausgegangen werden, dass der Streitwert Fr. 30'000.-- übersteigt ( Art. 51 Abs. 2 BGG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In der Beschwerde ist darzutun, inwiefern die Behebung des gerügten Mangels für den Ausgang des Verfahrens entscheidend sein kann ( Art. 97 Abs. 1 BGG ; BGE 135 I 19 E. 2.2.2).</w:t>
      </w:r>
    </w:p>
    <w:p>
      <w:r>
        <w:t>Diese Grundsätze verkennt die Beschwerdeführerin, soweit sie sich in ihrer Eingabe an das Bundesgericht gegen die tatsächlichen Feststellungen im angefochtenen Entscheid wendet, legt sie doch mit keinem Wort dar, inwiefern die angeblichen Mängel der vorinstanzlichen Sachverhaltsfeststellungen entscheiderheblich sind. Auf ihre Kritik am vorinstanzlich festgestellten Sachverhalt ist nicht einzugehen.</w:t>
      </w:r>
    </w:p>
    <w:p>
      <w:r>
        <w:rPr>
          <w:b/>
        </w:rPr>
        <w:t>E. 1.3</w:t>
      </w:r>
    </w:p>
    <w:p>
      <w:r>
        <w:t>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weiterhin gültig ( BGE 133 II 249 E. 1.4.2).</w:t>
      </w:r>
    </w:p>
    <w:p>
      <w:r>
        <w:t>Diese Grundsätze verkennt die Beschwerdeführerin, soweit sie der Vorinstanz vorwirft, diese habe ihr rechtliches Gehör ( Art. 29 Abs. 2 BV bzw. Art. 6 EMRK ) bzw. die Rechtsweggarantie ( Art. 29a BV ) verletzt, indem sie "wesentliche Vorbringen" und "wichtige Argumente" nicht berücksichtigt habe. Die Beschwerdeführerin beschränkt sich auf eine blosse Behauptung dieser angeblichen Verfassungsverstösse, ohne diese im Einzelnen anhand der Erwägungen im angefochtenen Entscheid konkret aufzuzeigen. Darauf ist mangels hinreichender Begründung nicht einzugehen.</w:t>
      </w:r>
    </w:p>
    <w:p>
      <w:r>
        <w:rPr>
          <w:b/>
        </w:rPr>
        <w:t>E. 1.4</w:t>
      </w:r>
    </w:p>
    <w:p>
      <w:r>
        <w:t>Mit der Beschwerde in Zivilsachen kann u.a. die Verletzung von Bundesrecht einschliesslich Bundesverfassungsrecht gerügt werden ( Art. 95 lit. a BGG ; BGE 134 III 379 E. 1.2 S. 382). Nicht zu den in Art. 95 BGG vorgesehenen Rügegründen gehört hingegen die Verletzung kantonalen Rechts, dessen Anwendung und Auslegung das Bundesgericht einzig unter dem Blickwinkel eines Verstosses gegen Bundesrecht oder gegen Bundesverfassungsrecht beurteilen kann ( BGE 136 I 241 E. 2.4; 135 III 513 E. 4.3 S. 521; 134 III 379 E. 1.2 S. 382 f.).</w:t>
      </w:r>
    </w:p>
    <w:p>
      <w:r>
        <w:t>Auch dies verkennt die Beschwerdeführerin, soweit sie sich gegen den vorinstanzlichen Kostenentscheid richtet. Denn dieser ist in Anwendung der kantonalen Verwaltungsverfahrensordnung ergangen. Eine hinreichend begründete Rüge, inwiefern die Vorinstanz das kantonale Kostenrecht bundes(verfassungs)widrig angewendet hätte, lässt sich der Beschwerde nicht entnehmen. Darauf ist ebenfalls nicht einzutreten.</w:t>
      </w:r>
    </w:p>
    <w:p>
      <w:r>
        <w:rPr>
          <w:b/>
        </w:rPr>
        <w:t>E. 2</w:t>
      </w:r>
    </w:p>
    <w:p>
      <w:r>
        <w:t>Die Beschwerdeführerin wirft der Vorinstanz sodann eine Verletzung von Art. 62 Abs. 2 HRegV vor. Entgegen der Auffassung der Vorinstanz könne die Gesellschaft bei der Anmeldung der opting-out-Erklärung wählen, ob sie das Protokoll der Generalversammlung oder Kopien der Erfolgsrechnungen, Bilanzen, Jahresberichte etc. als Beilagen einreichen wolle.</w:t>
      </w:r>
    </w:p>
    <w:p>
      <w:r>
        <w:rPr>
          <w:b/>
        </w:rPr>
        <w:t>E. 2.1</w:t>
      </w:r>
    </w:p>
    <w:p>
      <w:r>
        <w:t>Art. 62 Abs. 1 und 2 HRegV lauten wie folgt:</w:t>
      </w:r>
    </w:p>
    <w:p>
      <w:r>
        <w:t>1Aktiengesellschaften, die weder eine ordentliche noch eine eingeschränkte Revision durchführen, müssen dem Handelsregisteramt mit der Anmeldung zur Eintragung des Verzichts eine Erklärung einreichen, dass:</w:t>
      </w:r>
    </w:p>
    <w:p>
      <w:r>
        <w:t>a. die Gesellschaft die Voraussetzungen für die Pflicht zur ordentlichen Revision nicht erfüllt;</w:t>
      </w:r>
    </w:p>
    <w:p>
      <w:r>
        <w:t>b. die Gesellschaft nicht mehr als zehn Vollzeitstellen im Jahresdurchschnitt hat;</w:t>
      </w:r>
    </w:p>
    <w:p>
      <w:r>
        <w:t>c. sämtliche Aktionärinnen und Aktionäre auf eine eingeschränkte Revision verzichtet haben.</w:t>
      </w:r>
    </w:p>
    <w:p>
      <w:r>
        <w:t>2Diese Erklärung muss von mindestens einem Mitglied des Verwaltungsrats unterzeichnet sein. Kopien der massgeblichen aktuellen Unterlagen wie Erfolgsrechnungen, Bilanzen, Jahresberichte, Verzichtserklärungen der Aktionärinnen und Aktionäre oder das Protokoll der Generalversammlung müssen der Erklärung beigelegt werden. Diese Unterlagen unterstehen nicht der Öffentlichkeit des Handelsregisters nach den Artikeln 10-12 und werden gesondert aufbewahrt.</w:t>
      </w:r>
    </w:p>
    <w:p>
      <w:r>
        <w:rPr>
          <w:b/>
        </w:rPr>
        <w:t>E. 2.2</w:t>
      </w:r>
    </w:p>
    <w:p>
      <w:r>
        <w:t>Der Beschwerdegegner hat die Eintragung des Verzichts auf eine eingeschränkte Revision verweigert, weil die Beschwerdeführerin die Jahresrechnung (insbesondere jene aus dem Jahr 2010) noch nicht eingereicht hatte. Nach Auffassung der Vorinstanz erfolgte dies zu Recht, denn die in Art. 62 Abs. 2 HRegV mit dem Wort "oder" bezeichnete Alternative betreffe den Nachweis der Verzichtserklärung durch sämtliche Aktionärinnen und Aktionäre. Dieser kann entweder mit einzelnen Verzichtserklärungen der Aktionäre oder mit einem Protokoll der Generalversammlung erbracht werden, aus dem hervorgeht, dass sämtliche Aktionäre auf die eingeschränkte Revision verzichtet haben. Denn in Abweichung zur sonst geltenden Ordnung kann der Verzicht auf die eingeschränkte Revision nicht nur im Rahmen einer Generalversammlung erfolgen, sondern auch ausserhalb der Generalversammlung durch schriftlich eingeholte Verzichtserklärungen der Aktionäre (WATTER/MAIZAR, in: Basler Kommentar, 4. Aufl. 2012, N. 23 f. zu Art. 727a OR ).</w:t>
      </w:r>
    </w:p>
    <w:p>
      <w:r>
        <w:t>Diese Auslegung ist zutreffend, soll doch mit der Jahresrechnung belegt werden, dass die Gesellschaft die Voraussetzungen für die Pflicht zur ordentlichen Revision nicht erfüllt ( Art. 62 Abs. 1 lit. a HRegV ), während mit dem Protokoll der Generalversammlung bzw. separaten Verzichtserklärungen der Verzicht auf die eingeschränkte Revision ( Art. 62 Abs. 1 lit. c HRegV ) belegt werden soll. Die Rüge, die Vorinstanz habe Art. 62 Abs. 2 HRegV verletzt, ist unbegründet.</w:t>
      </w:r>
    </w:p>
    <w:p>
      <w:r>
        <w:rPr>
          <w:b/>
        </w:rPr>
        <w:t>E. 3</w:t>
      </w:r>
    </w:p>
    <w:p>
      <w:r>
        <w:t>Die Beschwerde ist abzuweisen, soweit darauf eingetreten werden kann.</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