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4A_508/2025 vom 12. November 2025</w:t>
      </w:r>
    </w:p>
    <w:p>
      <w:r>
        <w:t>Bundesgericht, 2025-11-12, DE</w:t>
      </w:r>
    </w:p>
    <w:p>
      <w:r>
        <w:rPr>
          <w:b/>
        </w:rPr>
        <w:t xml:space="preserve">Quelle: </w:t>
      </w:r>
      <w:r>
        <w:t>https://mcp.opencaselaw.ch/entscheid/bger_4A_508_2025</w:t>
      </w:r>
    </w:p>
    <w:p>
      <w:r>
        <w:t>FR: TF 4A_508/2025 du 12 novembre 2025</w:t>
      </w:r>
    </w:p>
    <w:p>
      <w:r>
        <w:t>IT: TF 4A_508/2025 del 12 novembre 2025</w:t>
      </w:r>
    </w:p>
    <w:p>
      <w:pPr>
        <w:pStyle w:val="Heading2"/>
      </w:pPr>
      <w:r>
        <w:t>Erwägungen</w:t>
      </w:r>
    </w:p>
    <w:p>
      <w:r>
        <w:rPr>
          <w:b/>
        </w:rPr>
        <w:t>E. 1</w:t>
      </w:r>
    </w:p>
    <w:p>
      <w:r>
        <w:t>Mit Entscheid vom 8. September 2025 trat das Obergericht des Kantons Bern auf die Beschwerde des Beschwerdeführers gegen die Erteilung definitiver Rechtsöffnung für ausstehende Unterhaltsbeträge in der Höhe von Fr. 45'133.-- nebst Zins nicht ein und wies das Gesuch des Beschwerdeführers um Gewährung der unentgeltlichen Rechtspflege für das Beschwerdeverfahren ab. Daraufhin gelangte der Beschwerdeführer an das Regionalgericht Bern-Mittelland und erklärte in einer Eingabe, den Entscheid vom 8. September 2025 anfechten zu wollen. Das Regionalgericht leitete diese Eingabe mit Schreiben vom 8. Oktober 2025 an das Obergericht des Kantons Bern weiter. Das Obergericht leitete die Eingabe mit Schreiben vom 10. Oktober 2025 zuständigkeitshalber an das Bundesgericht weiter.</w:t>
      </w:r>
    </w:p>
    <w:p>
      <w:r>
        <w:t>Mit Verfügung vom 13. Oktober 2025 wurde der Gesuchsteller aufgefordert, die mangelnde eigenhändige Unterschrift zu beheben. Der Beschwerdeführer retournierte die eigenhändig unterschriebene Eingabe und ergänzte sie um den Antrag, ihm sei für das bundesgerichtliche Verfahren die unentgeltliche Rechtspflege zu gewähren und ihm sei ein unentgeltlicher Rechtsbeistand zur Seite zu stellen.</w:t>
      </w:r>
    </w:p>
    <w:p>
      <w:r>
        <w:t>Auf das Einholen von Vernehmlassungen zur Beschwerde wurde verzichtet.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Damit erübrigt sich der Antrag des Beschwerdeführers, für das bundesgerichtliche Verfahren sei ein unentgeltlicher Rechtsbeistand zu benennen. Der Beschwerdeführer stellte diesen Antrag ohnehin erst nach Ablauf der Beschwerdefrist, weshalb keine Möglichkeit mehr bestand, zur fristgerechten Verbesserung der Beschwerde einen Rechtsbeistand beizuziehen.</w:t>
      </w:r>
    </w:p>
    <w:p>
      <w:r>
        <w:rPr>
          <w:b/>
        </w:rPr>
        <w:t>E. 4</w:t>
      </w:r>
    </w:p>
    <w:p>
      <w:r>
        <w:t>Bei diesem Ausgang des Verfahrens sind die Gerichtskosten dem Beschwerdeführer aufzuerlegen ( Art. 66 Abs. 1 BGG ). Die Beschwerdegegnerin hat keinen Anspruch auf eine Parteientschädigung, da ihr mangels Einholung einer Vernehmlassung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