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4A_508/2019 vom 9. Juli 2020</w:t>
      </w:r>
    </w:p>
    <w:p>
      <w:r>
        <w:t>Bundesgericht, 2020-07-09, FR</w:t>
      </w:r>
    </w:p>
    <w:p>
      <w:r>
        <w:rPr>
          <w:b/>
        </w:rPr>
        <w:t xml:space="preserve">Quelle: </w:t>
      </w:r>
      <w:r>
        <w:t>https://mcp.opencaselaw.ch/entscheid/bger_4A_508_2019</w:t>
      </w:r>
    </w:p>
    <w:p>
      <w:r>
        <w:t>FR: TF 4A_508/2019 du 9 juillet 2020</w:t>
      </w:r>
    </w:p>
    <w:p>
      <w:r>
        <w:t>IT: TF 4A_508/2019 del 9 luglio 2020</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pécuniaires qui ne relèvent ni du droit du travail, ni du droit du bail à loyer ( art. 74 al. 1 let. b LTF ). La recourante, dont les conclusions condamnatoires ont été rejetées, 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Le litige porte sur l'existence d'un contrat d'architecte entre la demanderesse et les défendeurs.</w:t>
      </w:r>
    </w:p>
    <w:p>
      <w:r>
        <w:t>Le contrat d'architecte n'est pas réglé spécifiquement dans la loi et peut recouvrir différentes prestations, telles que l'établissement de plans et d'autres documents concernant des travaux de construction ou de transformation d'un immeuble (sur ce contrat, cf. ATF 145 III 190 consid. 4.2 p. 197; 134 III 361 consid. 5.1; 127 III 543 consid. 2a p. 545; arrêts 4A_89/2017 du 2 octobre 2017 consid. 4, 4A_90/2013 du 10 juin 2013 consid. 3, 4A_55/2012 du 31 juillet 2012 consid. 4.4)</w:t>
      </w:r>
    </w:p>
    <w:p>
      <w:r>
        <w:t>En l'absence d'une disposition spéciale, la conclusion du contrat d'architecte n'est soumise à aucune forme particulière, par exemple la forme écrite (cf. art. 11 al. 1 CO ).</w:t>
      </w:r>
    </w:p>
    <w:p>
      <w:r>
        <w:t>Comme tout contrat, le contrat d'architecte exige un accord des volontés. Il n'est valablement conclu que lorsque les parties ont, réciproquement et d'une manière concordante, manifesté leur volonté ( art. 1 al. 1 CO ). C'est le cas lorsque chacune d'elles a fait connaître à l'autre sa volonté de conclure un contrat d'architecte et qu'elles sont tombées d'accord sur tous les points objectivement et subjectivement essentiels ( art. 2 al. 1 CO ), à savoir en tout cas sur les prestations que l'architecte devra fournir (PIERRE TERCIER, La formation du contrat et les clauses d'architecte, in Le droit de l'architecte, 3e éd. 1995, ch. 110 p. 41 et ch. 112/113 p. 42).</w:t>
      </w:r>
    </w:p>
    <w:p>
      <w:r>
        <w:t>Pour déterminer si un contrat d'architecte a été passé par actes concluants, le juge doit tout d'abord s'efforcer de dégager la commune et réelle intention des parties (interprétation subjective), le cas échéant empiriquement, sur la base d'indices ( ATF 132 III 268 consid. 2.3.2 p. 274,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prétendue conclusion du contrat ou de faits postérieurs à celle-ci, en particulier le comportement ultérieur des parties établissant quelles étaient à l'époque les conceptions des intéressés eux-mêmes ( ATF 144 III 93 consid. 5.2.2 p. 98; 140 III 86 consid. 4.1). L'appréciation de ces indices concrets par le juge, selon son expérience générale de la vie, relève du fait. Si le juge parvient à la conclusion que les parties se sont comprises ou, au contraire, qu'elles ne se sont pas comprises, il s'agit d'une constatation de fait qui lie le Tribunal fédéral ( art. 105 al. 1 LTF ), à moins qu'elle ne soit manifestement inexacte (art. 97 al. 1 et 105 al. 2 LTF), c'est-à-dire arbitraire au sens de l' art. 9 Cst. ( ATF 144 III 93 consid. 5.2.2 p. 98 et les arrêts cités).</w:t>
      </w:r>
    </w:p>
    <w:p>
      <w:r>
        <w:t>S'il ne parvient pas à déterminer la volonté réelle et commune des parties ou constate qu'une partie n'a pas compris la volonté exprimée par l'autre, le juge recherchera leur volonté objective, en déterminant le sens que, d'après les règles de la bonne foi, chaque partie pouvait et devait raisonnablement prêter aux déclarations de volonté de l'autre (interprétation objective; ATF 132 III 268 consid. 2.3.2 p. 274/275, 626 consid. 3.1 p. 632). Il s'agit d'une interprétation selon le principe de la confiance ( ATF 144 III 93 consid. 5.2.3 p. 99). Les circonstances déterminantes sont alors celles qui ont précédé ou accompagné la manifestation de volonté, mais non les événements postérieurs ( ATF 133 III 61 consid. 2.2.1 p. 67; 131 III 377 consid. 4.2.1; 128 III 265 consid. 3a; 125 III 305 consid. 2b). La détermination de la volonté des parties selon le principe de la confiance est une question de droit que le Tribunal fédéral examine librement. Cependant, pour trancher cette question, il faut s'appuyer sur le contenu des manifestations de volonté et sur les circonstances, qui relèvent du fait ( ATF 144 III 93 consid. 5.2.3 p. 99; 129 III 118 consid. 2.5 p. 122/123 et les arrêts cités).</w:t>
      </w:r>
    </w:p>
    <w:p>
      <w:r>
        <w:t>Il incombe à l'architecte qui réclame des honoraires de prouver les circonstances permettant de conclure à l'existence d'un accord des parties ( art. 8 CC ).</w:t>
      </w:r>
    </w:p>
    <w:p>
      <w:r>
        <w:rPr>
          <w:b/>
        </w:rPr>
        <w:t>E. 4</w:t>
      </w:r>
    </w:p>
    <w:p>
      <w:r>
        <w:t>La recourante se plaint d'arbitraire dans la constatation des faits, respectivement dans l'appréciation des preuves, ainsi que d'une violation du droit fédéral.</w:t>
      </w:r>
    </w:p>
    <w:p>
      <w:r>
        <w:t>A l'enseigne de l'arbitraire dans la constatation des faits, elle expose que les défendeurs auraient "marqué leur accord " "d'intervenir comme mandant client, et d'honorer les prestations de l'architecte" en signant les demandes d'autorisation de construire et de démolir relatives à l'immeuble litigieux, de même qu'en payant l'acompte qu'elle avait réclamé, lequel était détaillé sous l'angle des prestations qu'il recouvrait.</w:t>
      </w:r>
    </w:p>
    <w:p>
      <w:r>
        <w:t>Sous l'égide de la violation du droit fédéral, respectivement des art. 1, 18, 374 et 394 al. 3 CO, la recourante reprend en boucle le même argument, expliquant qu'"en signant la demande d'autorisation accompagnant les plans établis pour l'architecte pour ensuite payer la demande d'acompte qui précisait le calcul des honoraires, et le solde dû dès la délivrance de l'autorisation de construire, les intimés ont marqué leur accord avec le travail effectué (par elle) (ainsi que) leur accord avec la rémunération due à l'architecte". Elle prétend l'avoir déduit de bonne foi de l'attitude des défendeurs.</w:t>
      </w:r>
    </w:p>
    <w:p>
      <w:r>
        <w:rPr>
          <w:b/>
        </w:rPr>
        <w:t>E. 4.1</w:t>
      </w:r>
    </w:p>
    <w:p>
      <w:r>
        <w:t>La cour cantonale a constaté, d'une manière qui lie le Tribunal fédéral, que la demanderesse et les défendeurs n'avaient pas formalisé un quelconque accord en la forme écrite. Certes, ils pouvaient fort bien l'avoir conclu oralement ou par actes concluants, aucune forme n'étant imposée par la loi, respectivement réservée par les parties dans le cas d'espèce. Les juges cantonaux ont toutefois écarté cette hypothèse, en raisonnant en deux temps.</w:t>
      </w:r>
    </w:p>
    <w:p>
      <w:r>
        <w:t>En premier lieu, la recourante prétendait avoir conclu le contrat d'architecte après la signature de la promesse de vente et d'achat des 26 juillet et 7 août 2012. Elle n'alléguait pas que les défendeurs aient été représentés par qui que ce soit. Or, la recourante n'avait rencontré l'intimé 1 qu'à une seule reprise, lors de la signature des demandes d'autorisation de démolir et de construire le 27 septembre 2012, alors qu'elle avait débuté son activité - pour laquelle elle réclamait une rémunération - bien auparavant. Sachant qu'il fallait entre trois et cinq mois pour déposer une demande d'autorisation de construire dans un projet tel que celui-là et que la signature des demandes était intervenue le 27 septembre 2012, la recourante avait donc commencé à y travailler avant même que les défendeurs ne signent la promesse d'achat et de vente des 26 juillet et 7 août 2012. La date du 13 mars 2012 figurant sur l'estimation des honoraires, annexe au courrier du 4 octobre 2012, venait conforter cette appréciation. La version des faits de la recourante était dès lors incohérente.</w:t>
      </w:r>
    </w:p>
    <w:p>
      <w:r>
        <w:t>En second lieu, le comportement des défendeurs ne révélait pas une intention de leur part de s'engager vis-à-vis de la demanderesse. Certes, ils avaient payé un acompte de 38'000 fr., signé des demandes d'autorisations de construire et s'étaient portés acquéreurs de la parcelle à bâtir, ce qui pouvait constituer des indices en ce sens. Ces éléments n'étaient toutefois pas suffisants dans ce contexte, sachant que les défendeurs avaient été incités à régler l'acompte en raison du manque de liquidités allégué de l'appelée en cause, qu'ils n'avaient pas activement participé au projet immobilier et que l'appelée en cause avait continué à gérer seule l'avancement du projet auprès de la recourante; ainsi, le rôle des intimés 1 et 2 s'était limité à l'apport d'un financement total de l'ordre de 173'000 fr. (115'000 fr. + 20'000 fr. + 38'000 fr.). Une conclusion identique s'imposait au terme d'une interprétation objective.</w:t>
      </w:r>
    </w:p>
    <w:p>
      <w:r>
        <w:rPr>
          <w:b/>
        </w:rPr>
        <w:t>E. 4.2</w:t>
      </w:r>
    </w:p>
    <w:p>
      <w:r>
        <w:t>En préambule, il convient de recadrer le débat. La question n'est pas de savoir si la recourante a établi des plans qui ont servi à une mise à l'enquête publique et si elle a droit à une rémunération pour son travail. Les arguments que la recourante soulève s'agissant de ce dernier aspect sont hors de propos, tout autant que la jurisprudence à laquelle elle se réfère ( ATF 119 II 40 ); ses griefs tirés d'une violation des art. 374 et 394 al. 3 CO sont mal fondés. La recourante ne saurait déduire un accord avec les intimés 1 et 2 du simple constat que ceux-ci avaient l'utilité des plans qu'elle a réalisés. Les défendeurs n'étaient pas seuls dans cette situation. La question est bien plutôt de déterminer si la recourante a réalisé les plans en exécution d'un accord passé avec les intimés 1 et 2 (et nul autre).</w:t>
      </w:r>
    </w:p>
    <w:p>
      <w:r>
        <w:t>La recourante ne tente pas d'expliquer les raisons qui justifieraient qu'elle ait débuté ses travaux - pour laquelle elle prétend être rémunérée - largement avant de rencontrer pour la première et unique fois l'intimé 1, à l'occasion de la signature des demandes de permis de construire, respectivement de démolir. Elle laisse ainsi intactes les considérations des juges genevois selon lesquelles sa version des faits est incohérente d'un point de vue temporel. Elle ne remet pas non plus en cause les constatations souveraines de la cour cantonale, sur le seul et unique contact qu'elle a eu avec l'intimé 1 et sur sa renonciation à soutenir que les défendeurs auraient été représentés.</w:t>
      </w:r>
    </w:p>
    <w:p>
      <w:r>
        <w:t>Il faut donc croire, si l'on épouse la thèse de la recourante, que celle-ci a réalisé des plans sans y avoir été invitée par les défendeurs et a attendu de rencontrer l'un d'entre eux pour être mandatée, leur volonté se traduisant par la signature de la demande de permis de construire, respectivement de démolir. Un tel scénario n'est guère convaincant dans ce contexte, si l'on sait que les intimés 1 et 2 n'ont pas participé activement au projet immobilier. A suivre la recourante, le paiement de l'acompte demandé viendrait accréditer - voire fonder - l'existence de cet accord. En réalité, la cour cantonale a constaté que c'était le manque de liquidités de l'appelée en cause qui avait motivé les défendeurs à régler cette facture. La recourante se plaint en vain d'arbitraire dans la constatation d'une prétendue volonté subjective concordante des parties, grief qu'au demeurant elle n'étaie guère autrement que par une appréciation divergente des faits.</w:t>
      </w:r>
    </w:p>
    <w:p>
      <w:r>
        <w:t>La signature des documents nécessaires à la mise à l'enquête, respectivement le paiement de l'acompte demandé le 4 octobre 2012 fonderaient-ils un contrat sur la base d'une interprétation objective? La cour de céans en est tout aussi peu convaincue que l'autorité précédente. Une demande d'autorisation s'inscrit dans une relation de droit public entre un requérant et l'État; l'intimé 1 l'a signée sous la rubrique "propriétaire", qualité qu'il ne revêtait au demeurant pas (encore) puisqu'il était uniquement au bénéfice d'une promesse de vente et d'achat conditionnelle. Comme c'était la seule et unique fois que la recourante rencontrait le premier nommé, qu'aucun des défendeurs n'avait participé activement au projet, l'appelée en cause ayant en effet continué à en gérer seule l'avancement auprès de la recourante et de H.________ SA, il n'est guère concevable que la signature en question puisse légitimement susciter le sentiment que les défendeurs entendaient se lier en qualité de mandants à la demanderesse. En raisonnant comme la recourante, il faudrait du reste considérer au même titre H.________ SA, qui a signé les formules en tant que "requérante". La recourante ne se hasarde toutefois pas sur ce terrain.</w:t>
      </w:r>
    </w:p>
    <w:p>
      <w:r>
        <w:t>Quant au versement de l'acompte, il n'a pas non plus une signification univoque, différentes raisons pouvant justifier le paiement par un tiers dans un contexte où la volonté de mener à bien un projet prend le pas sur les difficultés de liquidités des uns ou des autres. Dans les circonstances de l'espèce, la facture d'acompte avait été envoyée à l'appelée en cause "à l'attention de Monsieur B.________ et Madame K.C.________", ce qui est ambigu. La recourante s'est à nouveau adressée à l'appelée en cause - et non directement aux intimés 1 et/ou 2 - le 29 octobre 2012 pour lui renvoyer ladite facture. Il régnait ainsi un certain flou dans l'adressage qui se concilie mal avec la confiance que la demanderesse affirme pouvoir placer dans le paiement de l'acompte par les défendeurs. D'autant que la facture en cause a été adressée, respectivement a transité, par l'appelée en cause et que, selon les constatations des juges cantonaux, cette dernière avait également suggéré à H.________ SA de se tourner vers les défendeurs pour obtenir le règlement d'une autre facture que "personne ne voulait payer" et dont les intimés 1 et 2 n'étaient pas - à tout le moins directement - redevables.</w:t>
      </w:r>
    </w:p>
    <w:p>
      <w:r>
        <w:t>Le grief de violation des art. 1 et 18 CO soulevé par la recourante doit donc également être écarté.</w:t>
      </w:r>
    </w:p>
    <w:p>
      <w:r>
        <w:rPr>
          <w:b/>
        </w:rPr>
        <w:t>E. 5</w:t>
      </w:r>
    </w:p>
    <w:p>
      <w:r>
        <w:t>Sur le vu ce qui précède, le recours sera rejeté, aux frais de la recourante ( art. 66 al. 1 LTF ). Celle-ci versera des dépens aux intimés ( art. 68 al. 1 et 2 LTF ); le montant dû à l'appelée en cause sera fonction de la brièveté de sa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