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4A_507/2012 vom 19. Dezember 2012</w:t>
      </w:r>
    </w:p>
    <w:p>
      <w:r>
        <w:t>Bundesgericht, 2012-12-19, FR</w:t>
      </w:r>
    </w:p>
    <w:p>
      <w:r>
        <w:rPr>
          <w:b/>
        </w:rPr>
        <w:t xml:space="preserve">Quelle: </w:t>
      </w:r>
      <w:r>
        <w:t>https://mcp.opencaselaw.ch/entscheid/bger_4A_507_2012</w:t>
      </w:r>
    </w:p>
    <w:p>
      <w:r>
        <w:t>FR: TF 4A_507/2012 du 19 décembre 2012</w:t>
      </w:r>
    </w:p>
    <w:p>
      <w:r>
        <w:t>IT: TF 4A_507/2012 del 19 dicembre 2012</w:t>
      </w:r>
    </w:p>
    <w:p>
      <w:pPr>
        <w:pStyle w:val="Heading2"/>
      </w:pPr>
      <w:r>
        <w:t>Erwägungen</w:t>
      </w:r>
    </w:p>
    <w:p>
      <w:r>
        <w:rPr>
          <w:b/>
        </w:rPr>
        <w:t>E. 1.1</w:t>
      </w:r>
    </w:p>
    <w:p>
      <w:r>
        <w:t>En l'espèce, le bailleur a exigé la cessation de la sous-location à partir du 1er mai 2011. Le droit de la locataire à la sous-location d'un bureau, s'il était constaté, pourrait valoir à tout le moins jusqu'au 30 avril 2014, terme renouvelable du bail principal. Selon les constatations cantonales, le sous-loyer se montait en dernier lieu à 1'200 fr. par mois. Calculée sur une période litigieuse d'au moins 36 mois (mai 2011 à avril 2014), la valeur litigieuse est d'au minimum 43'200 fr. Il n'est donc pas douteux que la valeur litigieuse minimale de 15'000 fr. requise par l' art. 74 al. 1 let. a LTF est ici atteinte.</w:t>
      </w:r>
    </w:p>
    <w:p>
      <w:r>
        <w:t>Interjeté par la partie qui a succombé dans ses conclusions et qui a donc qualité pour recourir ( art. 76 al. 1 LTF ) et dirigé contre un arrêt final ( art. 90 LTF ) rendu en matière civile ( art. 72 al. 1 LTF ) par une autorité cantonale de dernière instance ( art. 75 LTF ), le recours est en principe recevable, puisqu'il a été déposé dans le délai (art. 46 al. 1 let. b,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t>En l'espèce, la conclusion du recourant tendant à interdire à l'intimée, ainsi qu'à tout tiers, de sous-louer le bureau litigieux, a été déclarée irrecevable par la Cour de justice sous l'angle de l' art. 317 al. 2 CPC . La conclusion, qui modifie l'objet du litige, est également nouvelle devant le Tribunal fédéral et donc irrecevable.</w:t>
      </w:r>
    </w:p>
    <w:p>
      <w:r>
        <w:rPr>
          <w:b/>
        </w:rPr>
        <w:t>E. 2</w:t>
      </w:r>
    </w:p>
    <w:p>
      <w:r>
        <w:t>Le recourant fait grief à la cour cantonale d'avoir sombré dans l'arbitraire ( art. 9 Cst. ) en refusant d'auditionner la sous-locataire, seule celle-ci aurait pu confirmer notamment le nombre de ses patients et le rythme auquel elle consulte. Il estime également qu'en l'absence de toute audition, la cour cantonale ne pouvait affirmer que la sous-locataire, logopédiste, consultait dans "un petit cabinet".</w:t>
      </w:r>
    </w:p>
    <w:p>
      <w:r>
        <w:t>On ne voit pas que la cour cantonale ait établi arbitrairement les faits, en particulier en retenant que la sous-locataire ne disposait que d'un petit cabinet. Le recourant ne fournit aucun argument décisif qui pourrait le démontrer. En tout état de cause, la cour cantonale a observé que même à admettre, ainsi que le suggère le bailleur, que ce cabinet était fréquenté par un nombre important de patients, le recourant, qui avait la charge de l'allégation et de la preuve, n'a pas démontré que cet état de fait entraînerait des désagréments importants - par exemple en matière de sécurité - pour l'utilisation ou la valeur de l'immeuble et de la chose louée. Ainsi, même à corriger les constatations cantonales dans le sens voulu par le recourant, l'issue de la cause n'en serait pas différente (cf. art. 97 al. 1 LTF ).</w:t>
      </w:r>
    </w:p>
    <w:p>
      <w:r>
        <w:t>Dès lors que l'on ne voit pas - à lire les allégués du recourant - quels inconvénients majeurs ( art. 262 al. 2 let . c CO) résulteraient pour le bailleur d'une fréquentation intensive de ce local commercial, le refus d'entendre la sous-locataire n'est pas arbitraire (et ne viole pas davantage le droit à la preuve découlant de l' art. 8 CC ) puisqu'il s'agirait d'établir un fait sans pertinence.</w:t>
      </w:r>
    </w:p>
    <w:p>
      <w:r>
        <w:rPr>
          <w:b/>
        </w:rPr>
        <w:t>E. 3.1</w:t>
      </w:r>
    </w:p>
    <w:p>
      <w:r>
        <w:t>Le recourant se réfère à la garantie de la propriété contenue à l' art. 26 Cst.</w:t>
      </w:r>
    </w:p>
    <w:p>
      <w:r>
        <w:t>Il ne soutient toutefois pas que la réglementation de la sous-location, ancrée à l' art. 262 CO , transgresserait en soi ce droit fondamental. Le contrôle de la constitutionnalité de cette disposition ne pourrait au demeurant pas être entrepris (cf. art. 190 Cst. ). Lorsqu'il allègue que la locataire "s'est comportée en propriétaire" et que la cour cantonale ne pouvait admettre qu'un locataire puisse choisir un sous-locataire qui reste "à demeure" dans les locaux, il entend ainsi démontrer que le droit à la sous-location aurait dû être nié en l'espèce. Autrement dit, il reproche à la cour cantonale d'avoir appliqué de façon incorrecte l' art. 262 CO in casu, norme en elle-même compatible avec l' art. 26 Cst.</w:t>
      </w:r>
    </w:p>
    <w:p>
      <w:r>
        <w:t>Il faut donc exclusivement se demander si l' art. 262 CO a ou non été correctement appliqué et la référence à l' art. 26 Cst. n'est ici d'aucune utilité.</w:t>
      </w:r>
    </w:p>
    <w:p>
      <w:r>
        <w:rPr>
          <w:b/>
        </w:rPr>
        <w:t>E. 3.2</w:t>
      </w:r>
    </w:p>
    <w:p>
      <w:r>
        <w:t>Invoquant la transgression de l' art. 262 CO , le recourant relève que l'intimée n'a jamais soutenu qu'elle entendait réintégrer les locaux sous-loués, de sorte que la sous-location, qui doit rester provisoire, ne saurait être admise.</w:t>
      </w:r>
    </w:p>
    <w:p>
      <w:r>
        <w:t>L'argumentation du recourant tombe à faux.</w:t>
      </w:r>
    </w:p>
    <w:p>
      <w:r>
        <w:t>Selon les constatations cantonales, qui lient le Tribunal fédéral ( art. 105 al. 1 LTF ), l'intimée n'a pas quitté la chose louée puisqu'elle y travaille toujours en tant que physiothérapeute, tout en sous-louant une partie des locaux (un bureau). La sous-location du bureau litigieux a suivi le départ de A.________, cotitulaire du bail pendant sept ans.</w:t>
      </w:r>
    </w:p>
    <w:p>
      <w:r>
        <w:t>Il est de jurisprudence qu'un tel cas de figure ne peut être assimilé aux situations dans lesquelles le locataire principal abuse de son droit à la sous-location. Il a en effet été jugé que celle-ci est conçue notamment pour le cas d'un appartement devenu trop grand à la suite, par exemple, du décès ou du départ de l'un de ses occupants et qui est sous-loué à un tiers pour partie seulement ( ATF 138 III 59 consid. 2.2.1 p. 63; arrêt 4A_367/2010 du 4 octobre 2010 consid. 2.1). Le recourant ne critique pas cette jurisprudence et il n'y a pas lieu d'y revenir.</w:t>
      </w:r>
    </w:p>
    <w:p>
      <w:r>
        <w:t>Le moyen tiré de la violation de l' art. 262 CO est dès lors mal fondé.</w:t>
      </w:r>
    </w:p>
    <w:p>
      <w:r>
        <w:rPr>
          <w:b/>
        </w:rPr>
        <w:t>E. 4</w:t>
      </w:r>
    </w:p>
    <w:p>
      <w:r>
        <w:t>Il résulte des considérations qui précèdent que le recours doit être rejeté dans la mesure de sa recevabilité.</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