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4A_506/2008 vom 11. Februar 2009</w:t>
      </w:r>
    </w:p>
    <w:p>
      <w:r>
        <w:t>Bundesgericht, 2009-02-11, FR</w:t>
      </w:r>
    </w:p>
    <w:p>
      <w:r>
        <w:rPr>
          <w:b/>
        </w:rPr>
        <w:t xml:space="preserve">Quelle: </w:t>
      </w:r>
      <w:r>
        <w:t>https://mcp.opencaselaw.ch/entscheid/bger_4A_506_2008</w:t>
      </w:r>
    </w:p>
    <w:p>
      <w:r>
        <w:t>FR: TF 4A_506/2008 du 11 février 2009</w:t>
      </w:r>
    </w:p>
    <w:p>
      <w:r>
        <w:t>IT: TF 4A_506/2008 del 11 febbraio 2009</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Le demandeur revendique le bonus maximum de 500'000 fr. prévu par l'avenant au contrat du 30 juin 2003, en entier pour l'année 2004 et pro rata temporis pour l'année 2005. Il fait valoir que les secteurs dont il assumait la responsabilité, dans l'entreprise de la défenderesse, ont pleinement respecté les montants prévus pour les frais généraux et les investissements de ces secteurs, selon le budget annuel auquel il était fait référence dans l'avenant, de sorte que, à suivre son argumentation, le contrat n'autorise la défenderesse à aucun refus ni à aucune réduction de ce bonus.</w:t>
      </w:r>
    </w:p>
    <w:p>
      <w:r>
        <w:t>La Cour d'appel constate que la défenderesse attendait du demandeur, en particulier, la mise en place et la surveillance de structures adéquates pour limiter les mauvaises exécutions de prestations fournies aux clients, et, ainsi, limiter les pertes consécutives à ces dysfonctionnements. En 2003, la défenderesse avait subi des pertes de ce genre au total de 558'000 fr.; le défendeur avait pour objectif de réduire, ou même éviter totalement ces pertes en 2004; or, elles s'étaient au contraire aggravées pour atteindre 1'760'000 francs. Selon la Cour, cette évolution négative justifiait de n'accorder aucun bonus pour la période du 1er janvier au 30 septembre 2004. Dans la période subséquente, jusqu'à la fin des rapports de travail, le demandeur ne travaillait plus et il ne contribuait donc plus à la réalisation des objectifs fixés par la défenderesse; cela justifiait aussi le refus du bonus.</w:t>
      </w:r>
    </w:p>
    <w:p>
      <w:r>
        <w:t>Le litige porte d'abord sur l'interprétation de l'avenant du 30 juin 2003: le demandeur soutient que seuls des objectifs quantitatifs, exprimés dans le budget annuel, pouvaient influencer l'évaluation du bonus. Subsidiairement, en tant que des objectifs qualitatifs pouvaient aussi entrer en considération, le demandeur affirme qu'il a pleinement fourni ce qui était attendu de lui. A ce sujet, il reproche à la Cour d'appel d'avoir constaté arbitrairement les faits déterminants et d'avoir violé son droit d'être entendu en omettant d'apprécier et de discuter certaines des preuves offertes par lui.</w:t>
      </w:r>
    </w:p>
    <w:p>
      <w:r>
        <w:t>D'après les conclusions présentées, le recours porte aussi sur le refus de tout bonus pour l'année 2005, mais le demandeur ne tente pas d'expliquer pourquoi il aurait dû recevoir cette prestation alors qu'il ne travaillait plus. Sur ce point, le recours est donc irrecevable au regard de l' art. 42 al. 1 LTF , faute de motivation.</w:t>
      </w:r>
    </w:p>
    <w:p>
      <w:r>
        <w:rPr>
          <w:b/>
        </w:rPr>
        <w:t>E. 3</w:t>
      </w:r>
    </w:p>
    <w:p>
      <w:r>
        <w:t>Il est constant que les parties se sont liées par un contrat de travail et que la défenderesse s'est obligée à payer au demandeur, outre le salaire qui lui était dû selon l' art. 322 al. 1 CO , la gratification éventuellement convenue selon l' art. 322d CO .</w:t>
      </w:r>
    </w:p>
    <w:p>
      <w:r>
        <w:rPr>
          <w:b/>
        </w:rPr>
        <w:t>E. 3.1</w:t>
      </w:r>
    </w:p>
    <w:p>
      <w:r>
        <w:t>Une gratification se distingue du salaire en ceci qu'elle dépend au moins partiellement du bon vouloir de l'employeur. Si la gratification n'est pas convenue, il s'agit d'une prestation entièrement facultative. En l'absence d'un accord explicite, la gratification est considérée comme convenue lorsque l'employeur l'a versée durant plus de trois années consécutives sans en réserver, par une déclaration adressée au travailleur, le caractère facultatif; néanmoins, l'employeur conserve une certaine liberté dans la fixation du montant à allouer ( ATF 131 III 615 consid. 5.2 p. 621).</w:t>
      </w:r>
    </w:p>
    <w:p>
      <w:r>
        <w:rPr>
          <w:b/>
        </w:rPr>
        <w:t>E. 3.2</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(cf. ATF 131 III 606 consid. 4.1 p. 611; 129 III 618 consid. 3 p. 620, 129 III 664 consid. 3.1 p. 667). Déterminer ce que les parties savent ou veulent au moment de conclure relève en effet de la constatation des faits ( ATF 131 III 606 , ibidem; 128 III 419 consid. 2.2 p. 422).</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 ATF 132 III 24 consid. 4 p. 27/28). Le principe de la confiance permet d'imputer à une partie le sens objectif de sa déclaration ou de son comportement, même si celui-ci ne correspond pas à sa volonté intime ( ATF 131 III 606 consid. 4.1 p. 611; 130 III 417 consid. 3.2 p. 424; 129 III 118 consid. 2.5 p. 123, 664 consid. 3.1 p. 667).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132 III 24 consid. 4 p. 28; 131 III 606 consid. 4.1 p. 611; 130 III 417 consid. 3.2 p. 425).</w:t>
      </w:r>
    </w:p>
    <w:p>
      <w:r>
        <w:rPr>
          <w:b/>
        </w:rPr>
        <w:t>E. 3.3</w:t>
      </w:r>
    </w:p>
    <w:p>
      <w:r>
        <w:t>En ce qui concerne spécialement l'appréciation des preuves et la constatation des faits, une décision est arbitraire, donc contraire à l' art. 9 Cst. , lorsque l'autorité ne prend pas en considération, sans aucune raison sérieuse, un élément de preuve propre à modifier l'issue de l'affaire, lorsqu'elle se trompe manifestement sur le sens ou la portée d'une preuve, ou encore lorsque, sur la base des éléments recueillis, elle parvient à des constatations insoutenables ( ATF 129 I 8 consid. 2.1).</w:t>
      </w:r>
    </w:p>
    <w:p>
      <w:r>
        <w:rPr>
          <w:b/>
        </w:rPr>
        <w:t>E. 3.4</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t>L' art. 29 al. 2 Cst. confère également le droit d'exiger, en principe, qu'une décision soit motivée. Cette garantie-ci tend à donner à la personne touchée les moyens d'apprécier la portée du prononcé et de le contester efficacement, s'il y a lieu, dans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134 I 83 consid. 4.1 p. 88; 133 III 439 consid. 3.3 p. 445).</w:t>
      </w:r>
    </w:p>
    <w:p>
      <w:r>
        <w:rPr>
          <w:b/>
        </w:rPr>
        <w:t>E. 4</w:t>
      </w:r>
    </w:p>
    <w:p>
      <w:r>
        <w:t>Le demandeur se prévaut d'une lettre qu'il a lui-même adressée à l'autre partie le 19 mai 2003, au cours des pourparlers qui ont précédé la conclusion de l'avenant au contrat de travail et de la convention relative au plan d'intéressement. La demandeur revenait sur l'issue d'un récent entretien et espérait obtenir un « salaire de 1'000'000 de francs par an et [un] bonus de 500'000 fr. par an, le bonus étant lié au budget de la banque [et] donc réduit si le budget n'est pas atteint (plus ou moins 10%) ». Il affirme que cet écrit exprimait la réelle et commune intention des deux cocontractants, et que la Cour d'appel a violé les art. 9 Cst. et 18 al. 1 CO en omettant de constater ce fait et de retenir l'engagement correspondant des parties.</w:t>
      </w:r>
    </w:p>
    <w:p>
      <w:r>
        <w:t>Rien n'indique que le 30 juin 2003, lors de la conclusion de l'avenant, la volonté de la défenderesse portât sur la formule précitée plutôt que sur le texte effectivement signé. On peut en revanche admettre que le demandeur, lui, souhaitait obtenir une promesse correspondant à ladite formule. La Cour d'appel retient donc sans arbitraire qu'il n'existait pas de volonté commune aux deux parties. Pour le surplus, il s'impose de mettre en oeuvre le principe de la confiance: le demandeur ayant finalement signé l'avenant, la défenderesse a pu croire de bonne foi que son cocontractant se ralliait à ce texte et renonçait à obtenir une stipulation différente au sujet du bonus. C'est donc l'avenant qui est décisif au regard de l' art. 18 al. 1 CO .</w:t>
      </w:r>
    </w:p>
    <w:p>
      <w:r>
        <w:t>Il reste à élucider la portée du budget annuel auquel l'avenant faisait référence. Le demandeur était responsable des secteurs ressources humaines, risques, services généraux (« supports ») et contrôle financier. Il admet que ceux-ci n'apportaient directement aucun revenu à la défenderesse et que, du point de vue d'un résultat à atteindre, le budget ne leur assignait aucun objectif. Il admet aussi que la défenderesse attendait de ces mêmes secteurs une meilleure surveillance des activités exercées dans l'entreprise, avec l'élimination des pertes qui survenaient par suite d'erreurs dans les prestations à la clientèle. Il insiste en particulier, dans son argumentation, sur les erreurs du département des fonds de placement (fund desk) qui lui étaient reprochées de façon « particulièrement virulente » déjà au premier semestre de 2003. Dans ce contexte, à la signature de l'avenant, le demandeur n'a pas pu croire de bonne foi que la défenderesse lui promettait un bonus de 500'000 fr. sans aucun égard à l'efficacité des services placés sous sa direction, et à la seule condition que le budget soit respecté quant aux frais généraux et aux investissements dans ces services. Au contraire, la Cour d'appel applique sainement le principe de la confiance en retenant que des aspects extérieurs au budget pouvaient aussi intervenir dans l'évaluation du bonus. Compte tenu que celui-ci dépendait d'une appréciation de l'employeuse, il s'agissait d'une gratification aux termes de l' art. 322d CO .</w:t>
      </w:r>
    </w:p>
    <w:p>
      <w:r>
        <w:t>Le demandeur ne conteste pas que les pertes entraînées par des erreurs non décelées se soient accrues d'environ 560'000 fr., en 2003, à plus de 1'700'000 fr. l'année suivante. Au regard de ce résultat très défavorable, conformément à l'opinion de la Cour d'appel, la défenderesse n'avait aucune obligation d'accorder un bonus pour cette année-ci. Le demandeur allègue que les difficultés du département des fonds de placement étaient bien antérieures à son entrée en fonction et qu'il a mis en oeuvre des mesures aptes à y remédier. Sur la base de l' art. 29 al. 2 Cst. , il fait grief à la Cour d'appel de n'avoir pas administré les preuves offertes à ce sujet et, dans sa décision, de n'avoir pas discuté son argumentation. Or, compte tenu que l'aggravation des pertes, en 2004, suffit manifestement à justifier le refus du bonus, la Cour d'appel n'a aucunement violé cette disposition constitutionnelle en se dispensant d'étudier les autres éléments que le demandeur prétendait apporter au débat.</w:t>
      </w:r>
    </w:p>
    <w:p>
      <w:r>
        <w:t>Le demandeur se prévaut aussi vainement du bonus que l'autre partie lui a accordé pour l'année 2003. Il est possible que la défenderesse lui ait alors consenti une prestation excédant ce à quoi elle s'était obligée aux termes de l'avenant conclu le 30 juin 2003; de toute manière, cette prestation est demeurée unique et elle n'a donc pas pu devenir une gratification convenue selon la jurisprudence relative à l' art. 322d CO .</w:t>
      </w:r>
    </w:p>
    <w:p>
      <w:r>
        <w:rPr>
          <w:b/>
        </w:rPr>
        <w:t>E. 5</w:t>
      </w:r>
    </w:p>
    <w:p>
      <w:r>
        <w:t>A titre de participation au plan d'intéressement, le demandeur réclame à peu près la différence, sur cinquante-cinq mille actions de B.________ SA, entre le prix d'exercice de 70 fr.19 et le prix de base de 29 fr.61. Il fonde cette prétention sur l' art. 323b al. 3 CO , aux termes duquel les accords sur l'utilisation du salaire dans l'intérêt de l'employeur sont nuls. Cette disposition est hors de cause car le demandeur n'a acquis aucune des cinquante-cinq mille actions avec des deniers qu'il aurait reçus en contrepartie de son travail; en effet, l'opération était entièrement financée par un prêt de la banque employeuse, dont les conditions d'intérêts et de remboursement, correspondant aux conditions du marché des capitaux, n'étaient pas spécialement favorables. Le prêt n'était pas non plus remboursable avec des prélèvements à opérer sur le salaire. Certes, en relation avec son entrée dans le plan d'intéressement, le demandeur a accepté une réduction de son salaire annuel de 1'500'000 fr. à 1'000'000 de francs, et sans doute espérait-il compenser cette diminution, à son avantage, avec le dividende et une plus-value des actions. Néanmoins, son adhésion au plan n'a rien de comparable avec un accord sur l'utilisation du salaire, lequel était partiellement remplacé, désormais, par une participation aux profits de l'entreprise. Les prétentions ou expectatives d'un actionnaire, alors même que celui-ci se trouve simultanément employé par la société ou le groupe, ne sont pas soumises aux règles du contrat de travail.</w:t>
      </w:r>
    </w:p>
    <w:p>
      <w:r>
        <w:rPr>
          <w:b/>
        </w:rPr>
        <w:t>E. 6</w:t>
      </w:r>
    </w:p>
    <w:p>
      <w:r>
        <w:t>Le recours se révèle privé de fondement, dans la mesure où les conclusions présentées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