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4A_505/2018 vom 3. Juni 2019</w:t>
      </w:r>
    </w:p>
    <w:p>
      <w:r>
        <w:t>Bundesgericht, 2019-06-03, FR</w:t>
      </w:r>
    </w:p>
    <w:p>
      <w:r>
        <w:rPr>
          <w:b/>
        </w:rPr>
        <w:t xml:space="preserve">Quelle: </w:t>
      </w:r>
      <w:r>
        <w:t>https://mcp.opencaselaw.ch/entscheid/bger_4A_505_2018</w:t>
      </w:r>
    </w:p>
    <w:p>
      <w:r>
        <w:t>FR: TF 4A_505/2018 du 3 juin 2019</w:t>
      </w:r>
    </w:p>
    <w:p>
      <w:r>
        <w:t>IT: TF 4A_505/2018 del 3 giugno 2019</w:t>
      </w:r>
    </w:p>
    <w:p>
      <w:pPr>
        <w:pStyle w:val="Heading2"/>
      </w:pPr>
      <w:r>
        <w:t>Erwägungen</w:t>
      </w:r>
    </w:p>
    <w:p>
      <w:r>
        <w:rPr>
          <w:b/>
        </w:rPr>
        <w:t>E. 1</w:t>
      </w:r>
    </w:p>
    <w:p>
      <w:r>
        <w:t>Les recours (4A_505/2018 et 4A_507/2018) étant tous deux dirigés contre le même arrêt et les questions juridiques qui se posent portant essentiellement sur les mêmes objets, il y a lieu de joindre les deux procédures.</w:t>
      </w:r>
    </w:p>
    <w:p>
      <w:r>
        <w:rPr>
          <w:b/>
        </w:rPr>
        <w:t>E. 1.1</w:t>
      </w:r>
    </w:p>
    <w:p>
      <w:r>
        <w:t>L'arrêt attaqué ayant été notifié aux parties le même jour, leurs recours respectifs interjetés le 14 septembre 2018 l'ont été en temps utile (art. 100 al. 1, 48 al. 1 et 46 al. 1 let. b LTF). Dirigés contre une décision finale ( art. 90 LTF ), rendue sur appel du demandeur et appel joint de la défenderesse par le tribunal supérieur du canton ( art. 75 LTF ) dans une affaire relevant du contrat de travail ( art. 72 al. 1 LTF ), dont la valeur litigieuse excède 15'000 fr. ( art. 74 al. 1 let. a LTF ), les recours en matière civile sont recevables au regard de ces dispositions.</w:t>
      </w:r>
    </w:p>
    <w:p>
      <w:r>
        <w:rPr>
          <w:b/>
        </w:rPr>
        <w:t>E. 1.2</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137 I 58 consid. 4.1.2; 137 II 353 consid. 5.1) - ou en violation du droit au sens de l' art. 95 LTF ( art. 105 al. 2 LTF ), et si la correction du vice est susceptible d'influer sur le sort de la cause ( art. 97 al. 1 LTF ).</w:t>
      </w:r>
    </w:p>
    <w:p>
      <w:r>
        <w:t>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w:t>
      </w:r>
    </w:p>
    <w:p>
      <w:r>
        <w:t>La critique de l'état de fait retenu est soumise au principe strict de l'allégation énoncé par l' art. 106 al. 2 LTF ( ATF 140 III 264 consid. 2.3 p. 266 et les références). La partie qui entend attaquer les faits constatés par l'autorité précédente doit expliquer clairement et de manière circonstanciée en quoi ces conditions seraient réalisées ( ATF 140 III 16 consid. 1.3.1 p. 18 et les références). Si la critique ne satisfait pas à ces exigences, les allégations relatives à un état de fait qui s'écarterait de celui de la décision attaquée ne pourront pas être prises en considération ( ATF 140 III 16 consid. 1.3.1 p. 18). Les critiques de nature appellatoire sont irrecevables ( ATF 130 I 258 consid. 1.3 p. 261 s.).</w:t>
      </w:r>
    </w:p>
    <w:p>
      <w:r>
        <w:rPr>
          <w:b/>
        </w:rPr>
        <w:t>E. 1.3</w:t>
      </w:r>
    </w:p>
    <w:p>
      <w:r>
        <w:t>Sous réserve de la violation des droits constitutionnels ( art. 106 al. 2 LTF ), le Tribunal fédéral applique le droit d'office ( art. 106 al. 1 LTF ) à l'état de fait constaté dans l'arrêt cantonal ou, cas échéant, à l'état de fait qu'il aura rectifié. Il n'est toutefois lié ni par les motifs invoqués par les parties, ni par l'argumentation juridique retenue par l'autorité cantonale; il peut donc admettre le recours pour d'autres motifs que ceux invoqués par le recourant, comme il peut le rejeter en opérant une substitution de motifs ( ATF 135 III 397 consid. 1.4 et l'arrêt cité).</w:t>
      </w:r>
    </w:p>
    <w:p>
      <w:r>
        <w:rPr>
          <w:b/>
        </w:rPr>
        <w:t>E. 2</w:t>
      </w:r>
    </w:p>
    <w:p>
      <w:r>
        <w:t>Dans son arrêt du 13 juillet 2018, rectifié le 5 octobre 2018, la Cour de justice genevoise a confirmé la décision du Tribunal des prud'hommes selon laquelle le salaire de l'employé devait être versé jusqu'au 30 avril 2012 et qu'aucun élément ne permettait de retenir que l'employé avait cessé d'offrir ses services dès juillet 2009 (comme le prétendait la défenderesse). La cour cantonale en a conclu que la défenderesse - qui était d'ailleurs, depuis août 2009, en demeure d'accepter les services de l'employé - devait lui verser son salaire jusqu'à l'échéance contractuelle (somme brute de 1'812'577 fr. 50 et sommes nettes de USD 47'600.- et de 728'372 fr.) et que les premiers juges n'avaient donc pas violé l' art. 324 al. 1 CO .</w:t>
      </w:r>
    </w:p>
    <w:p>
      <w:r>
        <w:t>S'agissant de la somme à déduire de la créance principale du demandeur, la cour cantonale remarque que les premiers juges, en ne retenant que la somme de 1'221'754 fr.20, ont statué</w:t>
      </w:r>
    </w:p>
    <w:p>
      <w:r>
        <w:t>ultra petita . Il convient de tenir compte des deux montants (nets) admis par le demandeur (416'667 fr. et 941'800 fr.), soit un montant total de 1'358'467 fr., étant précisé que la conclusion portant sur le montant supplémentaire (150'000 fr. pour " provisions d'honoraires " avancées au demandeur et que la défenderesse entend également porter en déduction) a été déclarée irrecevable par la cour cantonale.</w:t>
      </w:r>
    </w:p>
    <w:p>
      <w:r>
        <w:t>S'agissant du " plan bonus annuel " et de la participation au bénéfice auquel le demandeur aurait droit (art. 3.7 du contrat), que celui-ci évalue à 911'749 fr., la cour cantonale retient que le demandeur n'est pas parvenu à démontrer la volonté des parties de conclure un accord sur la quotité du montant à verser.</w:t>
      </w:r>
    </w:p>
    <w:p>
      <w:r>
        <w:t>Concernant la prétention en remboursement des fonds investis (2'000'000 fr.) dans la société suisse (filiale constituée par le demandeur), la cour cantonale retient, d'une part, qu'elle n'a été invoquée que tardivement et, d'autre part (sur le fond), que le fondement contractuel (cf. art. 327a al. 1 CO ) invoqué par l'employé ne lui permet pas d'en obtenir la restitution.</w:t>
      </w:r>
    </w:p>
    <w:p>
      <w:r>
        <w:t>Les autres points encore examinés par la cour cantonale (indemnités de congé, indemnité pour billets d'avion, indemnités médicales, frais de logement, primes d'assurance-maladie, frais de déménagement, frais de la voiture d'entreprise à Genève, charges sociales et assurances obligatoires et contenu du certificat de travail) ne sont plus litigieux devant le Tribunal fédéral.</w:t>
      </w:r>
    </w:p>
    <w:p>
      <w:r>
        <w:rPr>
          <w:b/>
        </w:rPr>
        <w:t>E. 3</w:t>
      </w:r>
    </w:p>
    <w:p>
      <w:r>
        <w:t>Dans son recours en matière civile (4A_505/2018), le demandeur estime avoir droit au remboursement de son investissement de 2'000'000 fr. (voire 2'400'000 fr. selon certains passages du recours!) (conclusion no 7 du recours; cf. infra consid. 3.1), qu'en l'absence de tout remboursement de ce montant (subsidiairement), la somme nette de 941'800 fr. (reçue de la société filiale) lui est due (conclusion no 5 du recours), partant, que seule la somme nette de 416'667 fr. (1'358'567 fr. - 941'800 fr.) peut être déduite du montant de sa créance (conclusion no 8 du recours; cf. infra consid. 3.2), et qu'il a droit à la part variable de son salaire, d'un montant de 911'749 fr. (conclusion no 6 du recours; cf. infra consid. 3.3).</w:t>
      </w:r>
    </w:p>
    <w:p>
      <w:r>
        <w:rPr>
          <w:b/>
        </w:rPr>
        <w:t>E. 3.1</w:t>
      </w:r>
    </w:p>
    <w:p>
      <w:r>
        <w:t>Le recourant observe (et admet) que, selon la cour cantonale, il ne pouvait obtenir le paiement de 2'000'000 fr. au titre de remboursement de frais (cf. art. 327a al. 1 et 327c al. 1 CO). Les juges précédents auraient toutefois dû examiner d'office (cf. art. 57 CPC ) un autre fondement et, sous peine de violer le droit, en tirer les conclusions qui s'imposaient : les parties auraient formé une société simple ( art. 530 ss CO ) et la cour cantonale aurait dû reconnaître son existence, même si, au cours de la procédure cantonale, la prétention n'avait jamais été examinée sous cet angle.</w:t>
      </w:r>
    </w:p>
    <w:p>
      <w:r>
        <w:rPr>
          <w:b/>
        </w:rPr>
        <w:t>E. 3.1.1</w:t>
      </w:r>
    </w:p>
    <w:p>
      <w:r>
        <w:t>On rappellera d'emblée que la société créée en août 2008 par le demandeur, U.________ SA, est une société anonyme, soit une forme de société qui proscrit formellement à l'actionnaire de réclamer la restitution de son apport ( art. 680 al. 2 CO ). Excepté dans les situations prévues par la loi (cf. art. 676, 732 ss, 736 ss CO , etc.) - qui n'entrent ici pas en ligne de compte -, l'actionnaire ne peut dès lors sortir de la société que par la vente de ses actions.</w:t>
      </w:r>
    </w:p>
    <w:p>
      <w:r>
        <w:t>Si l'on admettait (par hypothèse) que la défenderesse avait participé à la fondation de la société anonyme (ce qui reste douteux selon l'arrêt entrepris), on devrait retenir que, lorsque la société anonyme s'est trouvée en formation (dès que les parties ont convenu de la création de la société anonyme et pendant le processus de fondation), les parties ont constitué une société simple ( ATF 102 II 420 consid. 2a p. 423). Toutefois, l'application des règles régissant celle-ci n'est que temporaire et, au plus tard lors de l'inscription de la société anonyme au registre du commerce, seules les règles prévues pour cette dernière forme de société sont applicables (cf. ATF 102 II 420 consid. 2a p. 423); cela étant, l'argumentation du demandeur (qui s'appuie sur la société simple) continue de se heurter à l'interdiction prévue à l' art. 680 al. 2 CO .</w:t>
      </w:r>
    </w:p>
    <w:p>
      <w:r>
        <w:rPr>
          <w:b/>
        </w:rPr>
        <w:t>E. 3.1.2</w:t>
      </w:r>
    </w:p>
    <w:p>
      <w:r>
        <w:t>Le demandeur tente de convaincre de l'existence d'une société simple dans une perspective différente. Il affirme que, parallèlement à la société anonyme (U.________ SA) voulue (et créée) par les parties, il existerait un contrat de</w:t>
      </w:r>
    </w:p>
    <w:p>
      <w:r>
        <w:t>joint venture (accord de base indépendant de la société anonyme) liant les parties, qui devrait être qualifié de société simple ( art. 530 ss CO ; cf. arrêt 4C.22/2006 du 5 mai 2006 consid. 5).</w:t>
      </w:r>
    </w:p>
    <w:p>
      <w:r>
        <w:t>Il n'y a toutefois pas lieu d'examiner ce point de manière approfondie puisqu'il apparaît d'emblée que le demandeur n'a jamais allégué les éléments de fait constitutifs de cette (prétendue) société simple ( art. 530 CO ). En particulier, il n'a ni allégué ni prouvé l'existence de la volonté des parties de s'unir (dans un " accord de base ") afin de poursuivre un but commun (</w:t>
      </w:r>
    </w:p>
    <w:p>
      <w:r>
        <w:t>animus societatis ) qui irait au-delà de l'objectif consistant à créer une société anonyme.</w:t>
      </w:r>
    </w:p>
    <w:p>
      <w:r>
        <w:t>On ne voit d'ailleurs pas comment les parties auraient pu s'entendre sur le fait que l'investissement de 2'000'000 fr. serait remboursé au demandeur puisque, même si les parties avaient mis un terme à l'accord de base (admis par hypothèse), leur société anonyme continuerait d'être régie par le droit applicable à cette forme de société et, en particulier, à la règle de l' art. 680 al. 2 CO (cf. THOMAS PROBST, Le contrat de</w:t>
      </w:r>
    </w:p>
    <w:p>
      <w:r>
        <w:t>joint venture , in La pratique contractuelle, Pichonnaz/Werro [éd.], 2009, p. 25).</w:t>
      </w:r>
    </w:p>
    <w:p>
      <w:r>
        <w:t>On peine en outre à saisir quel aurait été l'apport de la défenderesse puisque, s'il était envisagé que celle-ci puisse procéder à un investissement, il ne résulte pas de l'arrêt cantonal que la défenderesse aurait effectivement pris l'engagement de souscrire à une augmentation de capital de la société anonyme, un tel engagement ne figurant ni dans le contrat ni dans son annexe. En réalité, la défenderesse s'est limitée à affirmer avoir " étudi[é] la possibilité de fournir le financement demandé par l'IPBG ", ce qui ne correspond (évidemment) pas à un engagement, mais pourrait tout au plus, le cas échéant, fonder une responsabilité précontractuelle (</w:t>
      </w:r>
    </w:p>
    <w:p>
      <w:r>
        <w:t>culpa in contrahendo ). Ce fondement éventuel n'est toutefois pas évoqué par le recourant et il n'y a donc pas lieu d'examiner si la défenderesse aurait, lorsqu'elle a discuté avec le demandeur des objectifs qu'ils s'étaient assignés, violé son devoir de se comporter conformément aux règles de la bonne foi ( art. 2 CC ).</w:t>
      </w:r>
    </w:p>
    <w:p>
      <w:r>
        <w:t>Les griefs soulevés par le recourant (violation de l' art. 57 CPC , des art. 97 et 107 CO ) sont dès lors infondés.</w:t>
      </w:r>
    </w:p>
    <w:p>
      <w:r>
        <w:rPr>
          <w:b/>
        </w:rPr>
        <w:t>E. 3.2</w:t>
      </w:r>
    </w:p>
    <w:p>
      <w:r>
        <w:t>Le deuxième grief du recourant a trait au montant (941'800 fr.) que la cour cantonale a imputé sur sa créance (principale) envers la défenderesse. Les juges précédents expliquent cette déduction par le fait que l'employé a été libéré de son obligation de travailler dès l'été 2009, qu'il avait dès lors pu exercer une activité rémunérée (au service de la société filiale suisse), comme indépendant, et que le montant ainsi gagné devait être déduit de ses prétentions salariales selon l' art. 324 al. 2 CO .</w:t>
      </w:r>
    </w:p>
    <w:p>
      <w:r>
        <w:t>Le recourant soutient que la déduction du montant de 941'800 fr. ne s'imposait que si le remboursement du capital investi (la somme de 2'000'000 fr.) lui avait été accordé. Ce remboursement lui ayant été refusé, il considère que la cour cantonale a, en opérant la déduction, constaté arbitrairement les faits ( art. 9 Cst. ) et violé l' art. 324 al. 2 CO .</w:t>
      </w:r>
    </w:p>
    <w:p>
      <w:r>
        <w:t>Le raisonnement du demandeur, pour autant qu'on le comprenne bien, repose sur la prémisse - erronée - que son investissement dans la</w:t>
      </w:r>
    </w:p>
    <w:p>
      <w:r>
        <w:t>joint venture (en réalité : dans la société anonyme) de 2'000'000 fr. devait lui être remboursé et que le montant de 941'800 fr., versé par la société anonyme, lui permettait de " récupér[er] sous forme de salaire " son investissement dans la "</w:t>
      </w:r>
    </w:p>
    <w:p>
      <w:r>
        <w:t>joint venture "; en conséquence, seul le montant net de 416'667 fr. devrait être considéré comme un revenu réalisé par l'exécution d'un " autre travail " (cf. art. 324 al. 2 CO ) et pourrait être déduit de sa créance (principale) envers la défenderesse. Or, comme on l'a vu (cf. supra consid. 3.1), le montant de 2'000'000 fr. consiste en un apport du demandeur (en tant que fondateur de la société anonyme) qui, par définition, est souscrit inconditionnellement et sans réserve. Partant, le demandeur ne saurait en aucun cas s'en prévaloir pour exclure du champ d'application de l' art. 324 al. 2 CO le revenu de 941'800 fr. qu'il a réalisé en exécutant un travail pour la société anonyme (en tant que nouvel employeur).</w:t>
      </w:r>
    </w:p>
    <w:p>
      <w:r>
        <w:t>L'argumentation du demandeur visant une " juste application de l' art. 324 al. 2 CO " et une prise en compte de " la situation financière de U.________ SA ", qui repose sur la même prémisse, se révèle également dénuée de pertinence.</w:t>
      </w:r>
    </w:p>
    <w:p>
      <w:r>
        <w:t>La critique est dès lors sans consistance.</w:t>
      </w:r>
    </w:p>
    <w:p>
      <w:r>
        <w:rPr>
          <w:b/>
        </w:rPr>
        <w:t>E. 3.3</w:t>
      </w:r>
    </w:p>
    <w:p>
      <w:r>
        <w:t>S'agissant de la " part variable du salaire " (911'749 fr.) réclamée par le demandeur, la cour cantonale a constaté que celui-ci avait droit, en sa qualité de membre exécutif de la direction, à " un plan bonus annuel ", ainsi qu'à une participation au bénéfice (cf. art. 3.7 du contrat), l'articulation de ces deux postes n'étant pas précisée dans le contrat. Les juges précédents en ont conclu que, selon la volonté des parties, l'employé avait droit à une participation d'un pourcentage déterminé du</w:t>
      </w:r>
    </w:p>
    <w:p>
      <w:r>
        <w:t>Profit Before Tax (PBT), les parties ayant toutefois prévu de fixer ce pourcentage au cours de discussions ultérieures (ce qui n'a pas été fait).</w:t>
      </w:r>
    </w:p>
    <w:p>
      <w:r>
        <w:rPr>
          <w:b/>
        </w:rPr>
        <w:t>E. 3.3.1</w:t>
      </w:r>
    </w:p>
    <w:p>
      <w:r>
        <w:t>Lorsqu'un montant (même désigné comme bonus ou gratification) est déterminé ou objectivement déterminable, c'est-à-dire qu'il a été promis par contrat dans son principe et que son montant est déterminé ou doit l'être sur la base de critères objectifs prédéterminés comme le bénéfice, le chiffre d'affaires ou une participation au résultat de l'exploitation, et qu'il ne dépend pas de l'appréciation de l'employeur, il doit être considéré comme un élément du salaire (variable), que l'employeur est tenu de verser à l'employé (art. 322 s. CO; ATF 141 III 407 consid. 4.1; 136 III 313 consid. 2 p. 317; 129 III 276 consid. 2 p. 278).</w:t>
      </w:r>
    </w:p>
    <w:p>
      <w:r>
        <w:t>En revanche, lorsque le bonus est indéterminé ou objectivement indéterminable, c'est-à-dire que son versement dépend du bon vouloir de l'employeur et que sa quotité dépend pour l'essentiel de la marge de manoeuvre de celui-ci en ce sens qu'elle n'est pas fixée à l'avance et qu'elle dépend de l'appréciation subjective de la prestation du travailleur par l'employeur, il doit être qualifié de gratification ( ATF 141 III 407 consid. 4.1 et 4.2 p. 407 s.; 139 III 155 consid. 3.1 p. 157). Il faut encore distinguer entre les deux situations suivantes:</w:t>
      </w:r>
    </w:p>
    <w:p>
      <w:r>
        <w:t>- si par contrat, les parties sont tombées d'accord sur le principe du versement d'un bonus et n'en ont réservé que le montant, il s'agit d'une gratification que l'employeur est tenu de verser (</w:t>
      </w:r>
    </w:p>
    <w:p>
      <w:r>
        <w:t>Anspruch auf die Gratifikation ), mais il jouit d'une certaine liberté dans la fixation du montant à allouer ( ATF 136 III 313 consid. 2 p. 317; 131 III 615 consid. 5.2 p. 620);</w:t>
      </w:r>
    </w:p>
    <w:p>
      <w:r>
        <w:t>- si, par contrat, les parties ont réservé tant le principe que le montant du bonus, il s'agit d'une gratification facultative: le bonus n'est pas convenu et l'employé n'y a pas droit, sous réserve de l'exception découlant de la nature de la gratification (principe de l'accessoriété; cf. ATF 141 III 407 consid. 4.3.2 p. 409; 139 III 155 consid. 5.3 p. 159).</w:t>
      </w:r>
    </w:p>
    <w:p>
      <w:r>
        <w:rPr>
          <w:b/>
        </w:rPr>
        <w:t>E. 3.3.2</w:t>
      </w:r>
    </w:p>
    <w:p>
      <w:r>
        <w:t>En droit suisse des contrats, la question de savoir si les parties ont conclu un accord est soumise au principe de la priorité de la volonté subjective sur la volonté objective ( ATF 144 III 93 consid. 5.2.1 p. 97).</w:t>
      </w:r>
    </w:p>
    <w:p>
      <w:r>
        <w:t>Lorsque les parties se sont exprimées de manière concordante (échange de manifestations de volonté concordantes;</w:t>
      </w:r>
    </w:p>
    <w:p>
      <w:r>
        <w:t>übereinstimmende Willenserklärungen ), qu'elles se sont effectivement comprises et, partant, ont voulu se lier, il y a accord de fait (</w:t>
      </w:r>
    </w:p>
    <w:p>
      <w:r>
        <w:t>tatsächlicher Konsens ); si au contraire, alors qu'elles se sont comprises, elles ne sont pas parvenues à s'entendre, ce dont elles étaient d'emblée conscientes, il y a un désaccord patent (</w:t>
      </w:r>
    </w:p>
    <w:p>
      <w:r>
        <w:t>offener Dissens ) et le contrat n'est pas conclu. Subsidiairement, si les parties se sont exprimées de manière concordante, mais que l'une ou les deux n'ont pas compris la volonté interne de l'autre, ce dont elles n'étaient pas conscientes dès le début, il y a désaccord latent (</w:t>
      </w:r>
    </w:p>
    <w:p>
      <w:r>
        <w:t>versteckter Dissens ) et le contrat est conclu dans le sens objectif que l'on peut donner à leurs déclarations de volonté selon le principe de la confiance; en pareil cas, l'accord est de droit (ou normatif) ( ATF 144 III 93 consid. 5.2.1 p. 97 s.).</w:t>
      </w:r>
    </w:p>
    <w:p>
      <w:r>
        <w:t>En procédure, le juge doit donc rechercher, dans un premier temps, la réelle et commune intention des parties (interprétation subjective), le cas échéant empiriquement, sur la base d'indices ( ATF 144 III 93 consid. 5.2.2 p. 98 et les arrêts cités).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 ATF 144 III 93 consid. 5.2.3 p. 98 s. et les arrêts cités).</w:t>
      </w:r>
    </w:p>
    <w:p>
      <w:r>
        <w:rPr>
          <w:b/>
        </w:rPr>
        <w:t>E. 3.3.3</w:t>
      </w:r>
    </w:p>
    <w:p>
      <w:r>
        <w:t>En l'occurrence, il s'agit de qualifier la rémunération prévue à l'art. 3.7 du contrat, soit de l'attribuer à l'une des trois catégories rappelées plus haut (salaire, gratification obligatoire, gratification facultative).</w:t>
      </w:r>
    </w:p>
    <w:p>
      <w:r>
        <w:rPr>
          <w:b/>
        </w:rPr>
        <w:t>E. 3.3.3.1</w:t>
      </w:r>
    </w:p>
    <w:p>
      <w:r>
        <w:t>La cour cantonale retient que, si les parties se sont mises d'accord sur le principe du versement et qu'elles entendaient</w:t>
      </w:r>
    </w:p>
    <w:p>
      <w:r>
        <w:t>a priori fixer le montant de la rémunération en fonction d'un critère objectif (pourcentage du PBT) prédéterminé, elles n'ont finalement jamais eu l'occasion de fixer ce pourcentage lors de " discussions ultérieures ". Le recourant est au contraire d'avis que le pourcentage a bel et bien été déterminé et qu'il a droit à son salaire variable.</w:t>
      </w:r>
    </w:p>
    <w:p>
      <w:r>
        <w:t>Même si les juges ne le mentionnent pas explicitement, ils ont constaté que les parties s'étaient bien comprises, mais que leurs volontés réelles ne coïncidaient pas quant à la quotité du montant litigieux (des discussions ultérieures étant indispensables pour qu'un accord soit conclu) et laissé entendre que les parties en étaient conscientes. Partant, les magistrats cantonaux ont établi l'existence d'un désaccord patent. Le recourant le reconnaît lui-même dans le passage de son mémoire consacré à l'interprétation subjective, mais sans en tirer la conclusion qui s'impose. Il est d'avis que la cour cantonale ne pouvait pas s'arrêter à la volonté réelle des parties, mais qu'elle aurait dû appliquer le principe de la confiance, qui l'aurait amenée à retenir que la quotité de la part variable du salaire était bien déterminée.</w:t>
      </w:r>
    </w:p>
    <w:p>
      <w:r>
        <w:t>Le raisonnement ne convainc pas. Puisque la cour cantonale a établi l'existence d'un désaccord patent, il appartenait au recourant de remettre en question le résultat de l'interprétation subjective auquel elle est parvenue, ce qu'il n'a pas fait. Il n'y a donc pas lieu de s'écarter de l'état de fait de l'arrêt attaqué et l'application du principe de la confiance est exclue. Les arguments développés par le recourant à cet égard tombent dès lors à faux.</w:t>
      </w:r>
    </w:p>
    <w:p>
      <w:r>
        <w:rPr>
          <w:b/>
        </w:rPr>
        <w:t>E. 3.3.3.2</w:t>
      </w:r>
    </w:p>
    <w:p>
      <w:r>
        <w:t>Il en résulte que la rémunération prévue à l'art. 3.7 du contrat, convenue sur le principe, n'est pas déterminable et qu'il est exclu de la considérer comme un élément du salaire.</w:t>
      </w:r>
    </w:p>
    <w:p>
      <w:r>
        <w:t>Il n'y a en l'espèce pas lieu de rechercher si le recourant aurait droit à une gratification (obligatoire) puisqu'il ne le prétend pas. On ne voit d'ailleurs pas comment une telle gratification - qui dépend pour l'essentiel de la marge de manoeuvre de l'employeuse et peut être soumise à des conditions (arrêts 4A_290/2017 du 12 mars 2018 consid. 4.1.1; 4A_513/2017 du 5 septembre 2018 consid. 5.2.2) - pourrait lui être accordée en l'espèce sur la base des constatations cantonales. On observera en particulier que le demandeur, pour chiffrer sa prétention, part du PBT de " V.________ Ltd ", soit une entité dont le lien avec la question litigieuse n'est pas établi dans l'arrêt attaqué.</w:t>
      </w:r>
    </w:p>
    <w:p>
      <w:r>
        <w:t>Le moyen est infondé.</w:t>
      </w:r>
    </w:p>
    <w:p>
      <w:r>
        <w:rPr>
          <w:b/>
        </w:rPr>
        <w:t>E. 3.4</w:t>
      </w:r>
    </w:p>
    <w:p>
      <w:r>
        <w:t>Il résulte des considérations qui précèdent que le recours en matière civile du demandeur doit être rejeté.</w:t>
      </w:r>
    </w:p>
    <w:p>
      <w:r>
        <w:rPr>
          <w:b/>
        </w:rPr>
        <w:t>E. 4</w:t>
      </w:r>
    </w:p>
    <w:p>
      <w:r>
        <w:t>Dans son recours en matière civile (4A_507/2018) du 14 septembre 2018, la défenderesse estime que seul le montant net (et non brut) de USD 47'600.- aurait dû être accordé au demandeur, que les intérêts moratoires ne devraient être octroyés que sur les montants n'ayant pas encore été payés (sur ces deux points, cf. infra consid. 4.1) et qu'un montant supplémentaire de 150'000 fr. (provisions d'honoraires) aurait dû être déduit de la créance principale du demandeur, soit un montant total de 1'508'467 fr. (cf. infra consid. 4.2 et 4.3).</w:t>
      </w:r>
    </w:p>
    <w:p>
      <w:r>
        <w:rPr>
          <w:b/>
        </w:rPr>
        <w:t>E. 4.1</w:t>
      </w:r>
    </w:p>
    <w:p>
      <w:r>
        <w:t>Dans sa réplique du 28 février 2019, la défenderesse intimée a retiré les conclusions de son recours visant la correction du montant (net) de USD 47'600.- et de l'application des intérêts moratoires. Il n'y a donc pas lieu de revenir sur ces deux points qui ont fait l'objet d'une rectification dans l'arrêt cantonal du 5 octobre 2018.</w:t>
      </w:r>
    </w:p>
    <w:p>
      <w:r>
        <w:rPr>
          <w:b/>
        </w:rPr>
        <w:t>E. 4.2</w:t>
      </w:r>
    </w:p>
    <w:p>
      <w:r>
        <w:t>Seul reste litigieux le montant de 150'000 fr. que la défenderesse entend encore déduire de la créance (principale) du demandeur.</w:t>
      </w:r>
    </w:p>
    <w:p>
      <w:r>
        <w:t>La cour cantonale a écarté cette prétention en fournissant une double motivation : d'une part, elle a considéré qu'il s'agissait d'une nouvelle conclusion, que la défenderesse aurait pu faire valoir sa prétention en première instance déjà et que la conclusion était dès lors irrecevable (cf. art. 317 CPC ); d'autre part, la cour cantonale a jugé, sur le fond, que le montant de 150'000 fr. avait été versé au demandeur avant avril 2009 (alors que celui-ci travaillait encore pour elle) et qu'il ne pouvait ainsi être pris en compte pour la période postérieure, au titre de gain réalisé en exécution d'un autre travail (cf. art. 324 al. 2 CO ).</w:t>
      </w:r>
    </w:p>
    <w:p>
      <w:r>
        <w:rPr>
          <w:b/>
        </w:rPr>
        <w:t>E. 4.3</w:t>
      </w:r>
    </w:p>
    <w:p>
      <w:r>
        <w:t>Sur la première partie de la motivation, la recourante soutient avoir seulement précisé (et non modifié) son argumentation devant le juge d'appel cantonal.</w:t>
      </w:r>
    </w:p>
    <w:p>
      <w:r>
        <w:rPr>
          <w:b/>
        </w:rPr>
        <w:t>E. 4.3.1</w:t>
      </w:r>
    </w:p>
    <w:p>
      <w:r>
        <w:t>La défenderesse rappelle elle-même s'être limitée, en première instance, à requérir le rejet (global) des conclusions pécuniaires prises par le demandeur pour obtenir le paiement de sa créance principale; elle n'a précisé son argumentation que devant le juge d'appel en ajoutant que le montant de 150'000 fr. (provisions d'honoraires) devait encore être déduit de la créance principale. A cet égard, la cour cantonale a constaté que la pièce 39 (produite à l'appui de sa prétention) avait déjà été remise devant les premiers juges.</w:t>
      </w:r>
    </w:p>
    <w:p>
      <w:r>
        <w:t>Force est dès lors de constater qu'en première instance, la défenderesse n'a pas exposé de manière détaillée les différents éléments qui impliquaient, selon elle, le rejet intégral des prétentions du demandeur. Elle n'a en particulier pas allégué qu'elle entendait déduire de la créance (principale) du demandeur le montant de 150'000 fr., soit un fait dirimant qu'elle devait elle-même soulever (cf. arrêt 4A_11/2018 du 8 octobre 2018 consid. 6.3 non publié in ATF 144 III 519 ).</w:t>
      </w:r>
    </w:p>
    <w:p>
      <w:r>
        <w:t>La critique tombe dès lors à faux.</w:t>
      </w:r>
    </w:p>
    <w:p>
      <w:r>
        <w:rPr>
          <w:b/>
        </w:rPr>
        <w:t>E. 4.3.2</w:t>
      </w:r>
    </w:p>
    <w:p>
      <w:r>
        <w:t>Dans sa réplique du 28 février 2019, la défenderesse tente d'éviter les conséquences de son absence d'allégation en insistant sur le fait que la cour cantonale lui reproche exclusivement d'avoir modifié ses conclusions en ce sens qu'elle y a ajouté une (nouvelle) déduction de 150'000 fr.; il s'agirait dès lors exclusivement de savoir si elle a effectivement modifié ses conclusions ou seulement - comme elle le prétend - précisé celles-ci (p. 6). En sollicitant un examen limité à la seule modification/précision des conclusions, la défenderesse oublie toutefois que celles-ci sont intimement liées aux allégués de fait et aux moyens de preuve, les trois éléments étant décisifs pour le sort de l'action. En l'absence d'allégations, les faits générateurs permettant l'application de la règle légale ne pourront être prouvés et le juge ne pourra adjuger la prétention réclamée (dans ses conclusions) par la partie concernée.</w:t>
      </w:r>
    </w:p>
    <w:p>
      <w:r>
        <w:t>La défenderesse n'ayant pas allégué la déduction de 150'000 fr. à l'appui de ses conclusions libératoires en première instance, sa (nouvelle) conclusion (visant explicitement la déduction de 150'000 fr.), prise au stade de l'appel, était dépourvue de fondement factuel et, partant, sans consistance.</w:t>
      </w:r>
    </w:p>
    <w:p>
      <w:r>
        <w:t>Le moyen est infondé.</w:t>
      </w:r>
    </w:p>
    <w:p>
      <w:r>
        <w:rPr>
          <w:b/>
        </w:rPr>
        <w:t>E. 4.4</w:t>
      </w:r>
    </w:p>
    <w:p>
      <w:r>
        <w:t>Il résulte des considérations qui précèdent que le recours en matière civile de la défenderesse doit être rejeté.</w:t>
      </w:r>
    </w:p>
    <w:p>
      <w:r>
        <w:rPr>
          <w:b/>
        </w:rPr>
        <w:t>E. 5</w:t>
      </w:r>
    </w:p>
    <w:p>
      <w:r>
        <w:t>En conclusion, les deux recours en matière civile sont rejetés.</w:t>
      </w:r>
    </w:p>
    <w:p>
      <w:r>
        <w:t>Chacune des parties supportera les frais et dépens de son propre recours (art. 66 al. 1 et 68 al. 1 et 2 LTF).</w:t>
      </w:r>
    </w:p>
    <w:p>
      <w:r>
        <w:t>S'agissant du recours de la défenderesse, il sera tenu compte, dans la fixation des frais et des dépens, du retrait de certaines de ses conclusions.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