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4A_504/2023 vom 22. Februar 2024</w:t>
      </w:r>
    </w:p>
    <w:p>
      <w:r>
        <w:t>Bundesgericht, 2024-02-22, FR</w:t>
      </w:r>
    </w:p>
    <w:p>
      <w:r>
        <w:rPr>
          <w:b/>
        </w:rPr>
        <w:t xml:space="preserve">Quelle: </w:t>
      </w:r>
      <w:r>
        <w:t>https://mcp.opencaselaw.ch/entscheid/bger_4A_504_2023</w:t>
      </w:r>
    </w:p>
    <w:p>
      <w:r>
        <w:t>FR: TF 4A_504/2023 du 22 février 2024</w:t>
      </w:r>
    </w:p>
    <w:p>
      <w:r>
        <w:t>IT: TF 4A_504/2023 del 22 febbraio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recourant n'était pas domicilié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sous l'angle de sa motivation, de la recevabilité du moyen invoqué par l'intéressé.</w:t>
      </w:r>
    </w:p>
    <w:p>
      <w:r>
        <w:rPr>
          <w:b/>
        </w:rPr>
        <w:t>E. 4.1</w:t>
      </w:r>
    </w:p>
    <w:p>
      <w:r>
        <w:t>Un mémoire de recours visant une sentence arbitrale doit satisfaire à l'exigence de motivation telle qu'elle découle de l' art. 77 al. 3 LTF en liaison avec l' art. 106 al. 2 LTF et la jurisprudence relative à cette dernière disposition ( ATF 134 III 186 consid. 5). Cela suppose que le recourant discute les motifs de la sentence entreprise et indique précisément en quoi il estime que l'auteur de celle-ci a méconnu le droit.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divisé en deux branches, le recourant, invoquant l' art. 190 al. 2 let . e LDIP, soutient que la sentence attaquée est incompatible avec l'ordre public matériel.</w:t>
      </w:r>
    </w:p>
    <w:p>
      <w:r>
        <w:rPr>
          <w:b/>
        </w:rPr>
        <w:t>E. 5.1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5.2</w:t>
      </w:r>
    </w:p>
    <w:p>
      <w:r>
        <w:t>Dans la première branche du moyen considéré, le recourant dénonce une violation du principe de l'interdiction de l'abus de droit. A en croire l'intéressé, l'intimée aurait adopté une attitude contradictoire puisqu'elle aurait accepté, sans rien dire, qu'il préside simultanément la LEN et B.________ durant près de dix ans, avant de lui reprocher, par la suite, d'avoir signé, pour le compte de la LEN, l'addendum conclu avec B.________. L'intéressé fait valoir qu'il se trouvait, dès sa nomination à la tête de la LEN, dans une situation permanente de conflit d'intérêts, contraire aux règles du Code d'Éthique adopté par l'intimée, puisqu'il présidait toujours B.________. Pareille situation était connue et acceptée par la LEN et l'intimée. Le recourant estime dès lors qu'il ne saurait se voir reprocher d'avoir signé l'addendum pour le compte de la LEN, car "il n'a fait qu'exercer les prérogatives liées à sa fonction, dans une situation, certes de conflit d'intérêts, mais qui existait ab ovo et était acceptée de toutes les fédérations concernées".</w:t>
      </w:r>
    </w:p>
    <w:p>
      <w:r>
        <w:t>Semblable argumentation n'emporte point la conviction de la Cour de céans. Que l'intimée ait consenti à ce que le recourant préside simultanément la LEN et B.________, nonobstant les règles énoncées dans son Code d'Éthique, ne signifie pas encore que la fédération internationale concernée lui aurait donné carte blanche ni que l'intéressé ait pu légitimement se croire autorisé à conclure n'importe quel contrat entre les deux entités qu'il présidait. Cette seule circonstance ne saurait suffire à taxer l'attitude adoptée par l'intimée de contraire au principe de l'interdiction de l'abus de droit. L'intimée n'a en effet jamais laissé entendre que l'intéressé, agissant en tant que président de la LEN, pouvait oeuvrer dans l'intérêt de B.________. Or, dans la sentence attaquée, la Formation a souligné, à bon droit, que le recourant, en signant l'addendum pour le compte de la LEN, avait en réalité servi exclusivement les intérêts de B.________, puisque cette dernière avait bénéficié d'une réduction substantielle de ses obligations financières. Dans ces circonstances, la Formation n'a nullement rendu une sentence incompatible avec l'ordre public matériel, en considérant que le recourant aurait dû s'abstenir de participer à ladite transaction ou, à tout le moins, aurait dû consulter la Commission d'Éthique de l'intimée.</w:t>
      </w:r>
    </w:p>
    <w:p>
      <w:r>
        <w:rPr>
          <w:b/>
        </w:rPr>
        <w:t>E. 5.3.1</w:t>
      </w:r>
    </w:p>
    <w:p>
      <w:r>
        <w:t>Dans la seconde branche du moyen examiné, le recourant prétend que la sanction prononcée à son encontre porterait une atteinte injustifiée à sa personnalité.</w:t>
      </w:r>
    </w:p>
    <w:p>
      <w:r>
        <w:rPr>
          <w:b/>
        </w:rPr>
        <w:t>E. 5.3.2</w:t>
      </w:r>
    </w:p>
    <w:p>
      <w:r>
        <w:t>En matière de sanctions disciplinaires infligées dans le domaine du sport, le Tribunal fédéral n'intervient à l'égard des décisions rendues en vertu d'un pouvoir d'appréciation que si elles aboutissent à un résultat manifestement injuste ou à une iniquité choquante (arrêts 4A_542/2021 du 28 février 2022 consid. 6.3.2;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w:t>
      </w:r>
    </w:p>
    <w:p>
      <w:r>
        <w:t>in casu , puisqu'il s'exerce dans le cadre du grief de contrariété à l'ordre public matériel, notion plus restrictive que celle d'arbitraire (arrêt 4A_542/2021, précité, consid. 6.3.2).</w:t>
      </w:r>
    </w:p>
    <w:p>
      <w:r>
        <w:rPr>
          <w:b/>
        </w:rPr>
        <w:t>E. 5.3.3</w:t>
      </w:r>
    </w:p>
    <w:p>
      <w:r>
        <w:t>A la lecture du mémoire de recours, force est de relever que les quelques paragraphes que l'intéressé consacre à la démonstration d'une atteinte à sa personnalité, à grand renfort d'affirmations péremptoires et en formulant ses critiques sur un mode appellatoire, ne constituent pas une motivation digne de ce nom visant à établir l'existence d'une prétendue contrariété à l'ordre public.</w:t>
      </w:r>
    </w:p>
    <w:p>
      <w:r>
        <w:t>Quoi qu'il en soit, considérées à la lumière de ce qui précède, dans le cadre prédéfini du pouvoir d'examen dont jouit la Cour de céans, les critiques émises par le recourant ne suffisent de toute manière pas à établir que le résultat auquel a abouti la Formation serait contraire à l'ordre public. En l'occurrence, la Formation a soigneusement exposé les raisons pour lesquelles elle estimait qu'une suspension d'une durée d'une année était justifiée (sentence, n. 108-121). Elle a également tenu compte d'une série de circonstances atténuantes en faveur de l'intéressé (sentence, n. 121). A l'encontre de cette motivation détaillée, le recourant se borne à affirmer que la sanction prononcée à son encontre porte atteinte à son honneur. Il fait aussi valoir qu'il serait contraint de démissionner de son poste de président de B.________, si d'aventure il venait à faire l'objet d'autres sanctions dans le cadre de deux autres affaires soumises au TAS. Il soutient, enfin, que la sanction qui lui a été infligée n'est justifiée par aucun intérêt prépondérant de l'intimée. En argumentant de la sorte, le recourant ne remet non seulement pas en question les éléments pris en considération par le TAS pour justifier la sanction prononcée à son encontre, mais il échoue surtout à démontrer que le résultat auquel a abouti la Formation serait incompatible avec l'ordre public matériel.</w:t>
      </w:r>
    </w:p>
    <w:p>
      <w:r>
        <w:rPr>
          <w:b/>
        </w:rPr>
        <w:t>E. 6</w:t>
      </w:r>
    </w:p>
    <w:p>
      <w:r>
        <w:t>Au vu de ce qui précède, le recours doit être rejeté dans la mesure de sa recevabilité. Le recourant,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