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4A_504/2019 vom 21. November 2019</w:t>
      </w:r>
    </w:p>
    <w:p>
      <w:r>
        <w:t>Bundesgericht, 2019-11-21, DE</w:t>
      </w:r>
    </w:p>
    <w:p>
      <w:r>
        <w:rPr>
          <w:b/>
        </w:rPr>
        <w:t xml:space="preserve">Quelle: </w:t>
      </w:r>
      <w:r>
        <w:t>https://mcp.opencaselaw.ch/entscheid/bger_4A_504_2019</w:t>
      </w:r>
    </w:p>
    <w:p>
      <w:r>
        <w:t>FR: TF 4A_504/2019 du 21 novembre 2019</w:t>
      </w:r>
    </w:p>
    <w:p>
      <w:r>
        <w:t>IT: TF 4A_504/2019 del 21 novembre 2019</w:t>
      </w:r>
    </w:p>
    <w:p>
      <w:pPr>
        <w:pStyle w:val="Heading2"/>
      </w:pPr>
      <w:r>
        <w:t>Volltext</w:t>
      </w:r>
    </w:p>
    <w:p>
      <w:r>
        <w:t>Bundesgericht</w:t>
      </w:r>
    </w:p>
    <w:p>
      <w:r>
        <w:t>Tribunal fédéral</w:t>
      </w:r>
    </w:p>
    <w:p>
      <w:r>
        <w:t>Tribunale federale</w:t>
      </w:r>
    </w:p>
    <w:p>
      <w:r>
        <w:t>Tribunal federal</w:t>
      </w:r>
    </w:p>
    <w:p>
      <w:r>
        <w:t>4A_504/2019</w:t>
      </w:r>
    </w:p>
    <w:p>
      <w:r>
        <w:t>Urteil vom 21. November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Beschwerdegegnerin.</w:t>
      </w:r>
    </w:p>
    <w:p>
      <w:r>
        <w:t>Gegenstand</w:t>
      </w:r>
    </w:p>
    <w:p>
      <w:r>
        <w:t>Urheberrecht; Kostenvorschuss,</w:t>
      </w:r>
    </w:p>
    <w:p>
      <w:r>
        <w:t>Beschwerde gegen die Verfügung des Handelsgerichts des Kantons Zürich vom 1. Oktober 2019 (HG190145-O).</w:t>
      </w:r>
    </w:p>
    <w:p>
      <w:r>
        <w:t>In Erwägung,</w:t>
      </w:r>
    </w:p>
    <w:p>
      <w:r>
        <w:t>dass das Handelsgericht des Kantons Zürich dem Beschwerdeführer mit Verfügung vom 1. Oktober 2019 u.a. eine einmalige, aufgrund eines von ihm gestellten Fristerstreckungsgesuchs ausnahmsweise verlängerte Nachfrist bis zum 31. Oktober 2019 ansetzte, um einen Kostenvorschuss von Fr. 8'750.-- zu leisten, und für den Säumnisfall androhte, dass auf die Klage nicht eingetreten werde;</w:t>
      </w:r>
    </w:p>
    <w:p>
      <w:r>
        <w:t>dass der Beschwerdeführer dagegen mit Eingabe vom 6. Oktober 2019 beim Bundesgericht Beschwerde erhob und gleichzeitig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darin keine hinreichend begründeten Rügen gegen den angefochtenen Entscheid erhebt, in denen er rechtsgenügend darlegen würde, welche Rechte die Vorinstanz inwiefern verletzt haben soll, indem sie ihm eine Nachfrist für die Leistung eines Kostenvorschusses mit der Androhung angesetzt hat, im Säumnisfall werde auf die Klage nicht eingetreten, sondern bloss dafür hält, aufgrund einer von ihm vorgenommenen Klageänderung sollte die Vorinstanz die Aussichtslosigkeit im Hinblick auf die Gewährung der unentgeltlichen Rechtspflege für das Klageverfahren neu positiv beurteilen können;</w:t>
      </w:r>
    </w:p>
    <w:p>
      <w:r>
        <w:t>dass somit auf die Beschwerde wegen offensichtlich unzureichender Begründung nicht einzutreten ist ( Art. 108 Abs. 1 lit. b BGG );</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Handelsgericht des Kantons Zürich schriftlich mitgeteilt.</w:t>
      </w:r>
    </w:p>
    <w:p>
      <w:r>
        <w:t>Lausanne, 21.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