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4A_504/2018 vom 10. Dezember 2019</w:t>
      </w:r>
    </w:p>
    <w:p>
      <w:r>
        <w:t>Bundesgericht, 2019-12-10, FR</w:t>
      </w:r>
    </w:p>
    <w:p>
      <w:r>
        <w:rPr>
          <w:b/>
        </w:rPr>
        <w:t xml:space="preserve">Quelle: </w:t>
      </w:r>
      <w:r>
        <w:t>https://mcp.opencaselaw.ch/entscheid/bger_4A_504_2018</w:t>
      </w:r>
    </w:p>
    <w:p>
      <w:r>
        <w:t>FR: TF 4A_504/2018 du 10 décembre 2019</w:t>
      </w:r>
    </w:p>
    <w:p>
      <w:r>
        <w:t>IT: TF 4A_504/2018 del 10 dicembre 2019</w:t>
      </w:r>
    </w:p>
    <w:p>
      <w:pPr>
        <w:pStyle w:val="Heading2"/>
      </w:pPr>
      <w:r>
        <w:t>Erwägungen</w:t>
      </w:r>
    </w:p>
    <w:p>
      <w:r>
        <w:rPr>
          <w:b/>
        </w:rPr>
        <w:t>E. 1.1</w:t>
      </w:r>
    </w:p>
    <w:p>
      <w:r>
        <w:t>Interjeté dans le délai de 30 jours compte tenu de la suspension pendant les féries d'été (art. 100 al. 1 et 46 al. 1 let. b LTF), dirigé contre un arrêt final ( art. 90 LTF ) rendu sur appel par le tribunal supérieur du canton de Genève ( art. 75 LTF ) dans une affaire civile ( art. 72 al. 1 LTF ), dont la valeur litigieuse dépasse 30'000 fr. ( art. 74 al. 1 let. b LTF ), le recours en matière civile est recevable.</w:t>
      </w:r>
    </w:p>
    <w:p>
      <w:r>
        <w:rPr>
          <w:b/>
        </w:rPr>
        <w:t>E. 1.2</w:t>
      </w:r>
    </w:p>
    <w:p>
      <w:r>
        <w:t>Le Tribunal fédéral statue sur la base des faits établis par l'autorité précédente ( art. 105 al. 1 LTF ). Le Tribunal fédéral ne peut rectifier les constatations de l'autorité précédente que si elles sont manifestement inexactes, c'est-à-dire arbitraires ( ATF 140 III 115 consid. 2 p. 117; 135 III 397 consid. 1.5).</w:t>
      </w:r>
    </w:p>
    <w:p>
      <w:r>
        <w:t>La critique de l'état de fait retenu est soumise au principe strict de l'allégation énoncé par l' art. 106 al. 2 LTF ( ATF 140 III 264 consid. 2.3 p. 266). La partie qui entend attaquer les faits constatés par l'autorité précédente doit expliquer clairement et de manière circonstanciée en quoi cette condition serait réalisée ( ATF 140 III 16 consid. 1.3.1 p. 18).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1.3</w:t>
      </w:r>
    </w:p>
    <w:p>
      <w:r>
        <w:t>Le Tribunal fédéral applique en principe d'office le droit ( art. 106 al. 1 LTF ) à l'état de fait constaté dans l'arrêt cantonal. Cela ne signifie pas que le Tribunal fédéral examine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140 III 86 consid. 2).</w:t>
      </w:r>
    </w:p>
    <w:p>
      <w:r>
        <w:rPr>
          <w:b/>
        </w:rPr>
        <w:t>E. 2</w:t>
      </w:r>
    </w:p>
    <w:p>
      <w:r>
        <w:t>Lorsque le demandeur allègue que des versements ou virements ont été exécutés par la banque en dépit du défaut de légitimation du donneur d'ordre ou à la suite de faux non décelés, le juge doit examiner qui, du client ou de la banque, doit supporter le dommage qui en résulte en procédant en trois étapes.</w:t>
      </w:r>
    </w:p>
    <w:p>
      <w:r>
        <w:t>Tout d'abord (première étape), sur l'action principale du client en restitution de son avoir non amputé des prélèvements indus (cf. art. 107 al. 1 CO ), il doit examiner si les virements ont été exécutés sur mandat ou sans mandat du client, ce qui présuppose, en cas de représentation du titulaire du compte par un tiers, de se poser la question des pouvoirs du représentant, respectivement de la ratification des virements par le titulaire (cf. infra consid. 3).</w:t>
      </w:r>
    </w:p>
    <w:p>
      <w:r>
        <w:t>Ce n'est que si les ordres ont été exécutés sans mandat que le juge doit examiner (deuxième étape) si le dommage est un dommage de la banque ou si, en raison de la conclusion d'une clause de transfert de risque, le dommage est à la charge du client (cf. infra consid. 4).</w:t>
      </w:r>
    </w:p>
    <w:p>
      <w:r>
        <w:t>Ce n'est enfin que lorsque le dommage est subi par la banque que le juge peut encore devoir examiner (troisième étape) si la banque peut opposer, en compensation, à l'action en restitution de son client, une prétention en dommages-intérêts ( art. 97 al. 1 CO ) parce que celui-ci aurait fautivement contribué à causer ou à aggraver le dommage en violant ses propres obligations (par exemple, en ne contestant pas dans le délai convenu les opérations irrégulières ou infondées, respectivement en ne consultant pas son dossier de banque restante (cf. infra consid. 5).</w:t>
      </w:r>
    </w:p>
    <w:p>
      <w:r>
        <w:rPr>
          <w:b/>
        </w:rPr>
        <w:t>E. 3</w:t>
      </w:r>
    </w:p>
    <w:p>
      <w:r>
        <w:t>Dans une première étape, il faut examiner si les virements ont été exécutés par la banque sur mandat ou sans mandat du client.</w:t>
      </w:r>
    </w:p>
    <w:p>
      <w:r>
        <w:rPr>
          <w:b/>
        </w:rPr>
        <w:t>E. 3.1</w:t>
      </w:r>
    </w:p>
    <w:p>
      <w:r>
        <w:t>L'argent figurant sur le compte bancaire ouvert au nom du client est la propriété de la banque, envers laquelle le client n'a qu'une créance en restitution.</w:t>
      </w:r>
    </w:p>
    <w:p>
      <w:r>
        <w:rPr>
          <w:b/>
        </w:rPr>
        <w:t>E. 3.1.1</w:t>
      </w:r>
    </w:p>
    <w:p>
      <w:r>
        <w:t>Lorsque la banque vire de l'argent depuis ce compte à un tiers sur ordre (avec mandat) du client, elle acquiert une créance en remboursement contre celui-ci ( art. 402 CO ). A l'action en restitution du client, la banque peut donc opposer en compensation une créance en remboursement (arrêts 4A_119/2018 du 7 janvier 2019 consid. 5.2; 4A_379/2016 du 15 juin 2017 consid. 3.2.1). La prétention en remboursement présuppose que la banque ait correctement exécuté l'ordre qui lui a été donné par le client ( ATF 110 II 283 consid. 3a p. 285), notamment qu'elle ne se soit pas trompée, lors de son exécution, dans la personne du destinataire ou le numéro de compte indiqués par le client ( ATF 126 III 20 consid. 3b/aa p. 22).</w:t>
      </w:r>
    </w:p>
    <w:p>
      <w:r>
        <w:rPr>
          <w:b/>
        </w:rPr>
        <w:t>E. 3.1.2</w:t>
      </w:r>
    </w:p>
    <w:p>
      <w:r>
        <w:t>En revanche, lorsque la banque vire de l'argent depuis ce compte à un tiers sans ordre (sans mandat) du client, elle n'acquiert pas de créance en remboursement. A l'action en restitution du client, la banque ne peut donc pas opposer en compensation une créance en remboursement; elle doit contre-passer l'écriture et l' art. 402 CO n'entre pas en considération (arrêts 4A_379/2016 précité consid. 3.2.2; 4A_438/2007 du 29 janvier 2008 consid. 5.1)</w:t>
      </w:r>
    </w:p>
    <w:p>
      <w:r>
        <w:t>En effet, dans le système légal, le défaut de légitimation ou l'existence de faux non décelés font partie des risques inhérents à l'activité bancaire, au même titre que l'insolvabilité du client (GUGGENHEIM/ GUGGENHEIM, Les contrats de la pratique bancaire suisse, 5e éd. 2014, p. 129 n. 354). Le client dispose donc, en cas de virements exécutés par la banque sans mandat de sa part, à la suite de défauts de légitimation ou de faux non décelés, d'une action en restitution de ses avoirs (sauf clause de transfert de risque), qui est une action en exécution du contrat (</w:t>
      </w:r>
    </w:p>
    <w:p>
      <w:r>
        <w:t>Erfüllungsklage ; art. 107 al. 1 CO ; TERCIER/ PICHONNAZ, Le droit des obligations, 6e éd. 2019, n. 1230 ss). Cette action, qui n'est pas subordonnée à l'existence d'une faute de la banque, ne doit pas être confondue avec l'action en responsabilité pour inexécution contractuelle intentée par le client, laquelle est subordonnée à l'existence d'une faute de la banque (art. 398 al. 2 et 97 al. 1 CO qui pose une présomption de faute; pour des exemples, cf. ATF 131 III 97 consid. 7.1 p. 102; arrêt 4A_54/2017 du 29 janvier 2018 consid. 5.1.1). Il en découle que la banque ne peut pas opposer à l'action en restitution du client une prétention en réduction pour faute concomitante de celui-ci au sens de l' art. 44 al. 1 CO ( ATF 132 III 449 consid. 2 p. 452; 112 II 450 consid. 3a p. 454; 111 II 263 consid. 1a; arrêts 4A_379/2016 déjà cité consid. 3.2.2; 4A_258/2012 du 8 avril 2013 consid. 7.1 résumé in SZIER 2013 p. 454; 4A_536/2008 du 10 février 2009 consid. 5.2; 4A_438/2007 déjà cité consid. 5.1; 4C.315/2005 du 2 mai 2006 consid. 3.2).</w:t>
      </w:r>
    </w:p>
    <w:p>
      <w:r>
        <w:rPr>
          <w:b/>
        </w:rPr>
        <w:t>E. 3.2</w:t>
      </w:r>
    </w:p>
    <w:p>
      <w:r>
        <w:t>Savoir si les virements ont été exécutés sur mandat ou sans mandat du client (titulaire du compte) présuppose, si celui-ci est représenté, de se poser la question des pouvoirs du représentant.</w:t>
      </w:r>
    </w:p>
    <w:p>
      <w:r>
        <w:rPr>
          <w:b/>
        </w:rPr>
        <w:t>E. 3.2.1</w:t>
      </w:r>
    </w:p>
    <w:p>
      <w:r>
        <w:t>Pour qu'un acte juridique fait par un représentant lie le représenté conformément à l' art. 32 al. 1 CO , deux conditions doivent être remplies:</w:t>
      </w:r>
    </w:p>
    <w:p>
      <w:r>
        <w:t>(1) Le représentant doit agir au nom du représenté ("</w:t>
      </w:r>
    </w:p>
    <w:p>
      <w:r>
        <w:t>fait au nom d'une autre personne "). Il doit manifester - expressément ou tacitement ( ATF 126 III 59 consid. 1b p. 64) -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signe l'acte juridique au nom du représenté). Si cette volonté (réelle et commune) ne peut être établie, l'existence du rapport de représentation doit être retenue si le tiers pouvait l'inférer du comportement du représentant, interprété selon le principe de la confiance ( art. 32 al. 2 CO ; ATF 120 II 197 consid. 2b/aa p. 200; arrêt 4A_638/2015 du 9 mars 2016 consid. 3.2.2).</w:t>
      </w:r>
    </w:p>
    <w:p>
      <w:r>
        <w:t>(2) Le représentant doit avoir le pouvoir de représenter ("</w:t>
      </w:r>
    </w:p>
    <w:p>
      <w:r>
        <w:t>autorisé "). Il doit agir en vertu de l'autorisation qui lui a été donnée par le représenté, c'est-à-dire en vertu d'une procuration (interne). L'étendue des pouvoirs de représentation internes octroyés ( art. 32 al. 1 CO ) dépend au premier chef de l'acte d'octroi lui-même ( art. 33 al. 2 CO ), dont le contenu est apprécié, si nécessaire (si la volonté réelle et commune du représenté et du représentant n'a pas pu être établie), sur la base du principe de la confiance.</w:t>
      </w:r>
    </w:p>
    <w:p>
      <w:r>
        <w:rPr>
          <w:b/>
        </w:rPr>
        <w:t>E. 3.2.2</w:t>
      </w:r>
    </w:p>
    <w:p>
      <w:r>
        <w:t>Lorsque le représentant a agi au nom du représenté sans avoir pour cela de pouvoirs (internes), autrement dit lorsque l'acte qu'il a passé n'était pas couvert par la procuration (dépassement ou excès de pouvoirs;</w:t>
      </w:r>
    </w:p>
    <w:p>
      <w:r>
        <w:t>Vollmachtsüberschreitung ), cet acte reste en principe sans effet pour le représenté, sauf :</w:t>
      </w:r>
    </w:p>
    <w:p>
      <w:r>
        <w:t>a) si le représenté ratifie l'acte ( art. 38 CO ; cf. ATF 146 III 37 consid. 7.1 p. 45 et les arrêts cités), ou</w:t>
      </w:r>
    </w:p>
    <w:p>
      <w:r>
        <w:t>b) si le représenté a porté (expressément ou tacitement) à la connaissance du tiers une procuration qui va au-delà des pouvoirs (internes) qu'il a effectivement conférés au représentant et que, se fiant à cette communication (cf. ATF 99 II 39 consid. 1 p. 41), le tiers a cru de bonne foi à l'existence des pouvoirs (procuration externe - expresse ou tacite -; art. 33 al. 3 CO ; ATF 146 III 37 précité consid. 7.1.2.1 p. 46; 131 III 511 consid. 3.2; 124 III 418 consid. 1c p. 421 s.). La communication au tiers n'a ainsi pas pour conséquence de faire naître les pouvoirs, mais seulement de suppléer à leur absence en cas de bonne foi du tiers (CHRISTINE CHAPPUIS, in Commentaire romand, Code des obligations I, 2e éd. 2012, no 28 ad art. 33 CO et les auteurs cités).</w:t>
      </w:r>
    </w:p>
    <w:p>
      <w:r>
        <w:t>La communication des pouvoirs par le représenté au tiers au sens de l' art. 33 al. 3 CO peut s'exprimer par une procuration écrite fournie par le représentant au tiers. La portée de la communication doit être examinée avant tout selon le principe de la confiance ( ATF 131 III 511 consid. 3.2.1 p. 518).</w:t>
      </w:r>
    </w:p>
    <w:p>
      <w:r>
        <w:rPr>
          <w:b/>
        </w:rPr>
        <w:t>E. 3.2.3</w:t>
      </w:r>
    </w:p>
    <w:p>
      <w:r>
        <w:t>Du dépassement (ou excès) de pouvoirs (cf. supra consid. 3.2.2), il faut distinguer le cas spécial de l'abus de pouvoirs (</w:t>
      </w:r>
    </w:p>
    <w:p>
      <w:r>
        <w:t>Vollmachtsmissbrauch ). Selon la jurisprudence, lorsque les pouvoirs sont communiqués par écrit au tiers par le représenté, celui-ci est en principe lié par l'acte juridique accompli par le représentant si cet acte entre, au moins abstraitement et objectivement, dans le cadre fixé par la procuration écrite communiquée (cf. ATF 119 II 23 consid. 3b p. 26; 116 II 320 consid. 3a p. 323). Une exception à ce principe est admise si le tiers est de mauvaise foi : le représenté n'est pas lié si le tiers est de mauvaise foi ou s'il est déchu du droit d'invoquer la protection légale attachée à sa bonne foi (cf. art. 33 al. 3 CO et art. 3 CC ; ATF 131 III 511 consid. 3.2.2 p. 519 s.). Cela peut être le cas si le tiers se rend compte que le représentant abuse des pouvoirs de représentation qui lui ont été octroyés.</w:t>
      </w:r>
    </w:p>
    <w:p>
      <w:r>
        <w:t>En cas d'abus de pouvoirs, le représentant n'a, en réalité, jamais eu l'intention d'agir pour le compte du représenté; il utilise seulement l'apparence découlant des pouvoirs communiqués au tiers pour agir exclusivement dans son propre intérêt et de façon délictueuse ( ATF 119 II 23 consid. 3b p. 25 s.; arrêt 4A_313/2010 du 3 septembre 2010 consid. 3.4.2.3). Le tiers, même de bonne foi, peut être déchu du droit d'invoquer la protection légale attachée à sa bonne foi parce qu'il n'a pas fait preuve de l'attention que les circonstances permettaient d'exiger de lui ( art. 3 al. 2 CC ). Le débat ne se place pas sur le terrain de la preuve et du fait, mais sur celui du droit à la protection de la bonne foi. La mesure de l'attention exigée par les circonstances, au sens de l' art. 3 al. 2 CC , est une notion soumise à l'appréciation (juridique) du juge ( art. 4 CC ; ATF 143 III 653 consid. 4.3.3 p. 662; 122 III 1 consid. 2a/aa p. 3). Celui-ci doit prendre en compte l'ensemble de la situation concrète et appliquer des critères objectifs ( ATF 119 II 23 consid. 3c/aa p. 27). Le Tribunal fédéral ne revoit qu'avec retenue le résultat de l'appréciation du juge ( art. 4 CC ; ATF 143 III 653 consid. 4.3.3 p. 662).</w:t>
      </w:r>
    </w:p>
    <w:p>
      <w:r>
        <w:rPr>
          <w:b/>
        </w:rPr>
        <w:t>E. 3.2.4</w:t>
      </w:r>
    </w:p>
    <w:p>
      <w:r>
        <w:t>Il n'en va pas différemment dans les relations avec les banques, la loi n'ayant pas prévu de représentation spéciale. Les pouvoirs conférés par le client à un représentant sont habituellement octroyés sur une formule de procuration préimprimée rédigée par la banque et remise à celle-ci. Cette procuration bancaire contient la signature de la personne autorisée (GUGGENHEIM/GUGGENHEIM, op. cit., n. 1565). Elle est donc soumise aux règles générales des art. 32 ss CO , soit en particulier aux règles des art. 32 al. 1 (en relation avec l' art. 33 al. 2 CO ) et 33 al. 3 CO.</w:t>
      </w:r>
    </w:p>
    <w:p>
      <w:r>
        <w:t>Lorsque la banque intimée soutient que, confrontée à une procuration bancaire, elle ne devrait intervenir que lorsqu'elle a la certitude que le représentant agit au détriment de la représentée, elle ne peut être suivie : elle se borne à substituer sa propre règle (contenant un critère unique et absolu), qui lui est plus favorable, à celle de l' art. 3 al. 2 CC , qui prescrit que l'attention attendue du représentant est déterminée en fonction de l'ensemble des circonstances concrètes.</w:t>
      </w:r>
    </w:p>
    <w:p>
      <w:r>
        <w:t>Contrairement à ce qu'affirme la cour cantonale, on ne saurait tirer aucun enseignement de l'arrêt 4A_122/2013 (consid. 3.2.2) pour le cas d'espèce. La question alors posée n'était pas comparable à celle de la présente affaire: il s'agissait d'examiner la diligence que devait adopter la banque - qui n'était alors pas confrontée au même conflit d'intérêts - vis-à-vis du bénéficiaire de la procuration qui était l'actionnaire unique et ayant droit économique de la société anonyme (déjà remis en cause dans l'arrêt 4A_474/2014 déjà cité consid. 6.2.2).</w:t>
      </w:r>
    </w:p>
    <w:p>
      <w:r>
        <w:rPr>
          <w:b/>
        </w:rPr>
        <w:t>E. 3.3</w:t>
      </w:r>
    </w:p>
    <w:p>
      <w:r>
        <w:t>En l'espèce, en lien avec l'étendue de la procuration, la cour cantonale reconnaît la validité de la procuration générale et illimitée, signée par la cliente, qui autorise le représentant à donner un ordre de virement en sa propre faveur. La recourante soutient au contraire qu'une telle procuration (interne) est nulle puisque cela revient à autoriser un contrat avec soi-même et, implicitement, que la communication de cette procuration (nulle) au tiers (la banque) ne confère aucune légitimité au représentant.</w:t>
      </w:r>
    </w:p>
    <w:p>
      <w:r>
        <w:t>La question de la nullité du contrat avec soi-même peut toutefois rester ouverte puisque, de toute façon, on doit retenir que la banque ne peut pas être protégée dans sa bonne foi (cf. infra consid. 3.4).</w:t>
      </w:r>
    </w:p>
    <w:p>
      <w:r>
        <w:rPr>
          <w:b/>
        </w:rPr>
        <w:t>E. 3.4</w:t>
      </w:r>
    </w:p>
    <w:p>
      <w:r>
        <w:t>Il ressort des constatations cantonales que le représentant a commis des détournements au préjudice de la cliente en donnant 14 ordres de virement en sa propre faveur. Il est établi que la cliente n'a jamais donné son aval au représentant et que celui-ci a reconnu avoir trompé sa confiance et commis ces détournements à son préjudice pour financer l'achat de ses immeubles en Suisse.</w:t>
      </w:r>
    </w:p>
    <w:p>
      <w:r>
        <w:rPr>
          <w:b/>
        </w:rPr>
        <w:t>E. 3.4.1</w:t>
      </w:r>
    </w:p>
    <w:p>
      <w:r>
        <w:t>Sur les 14 ordres de virement, 11 ont été justifiés par le représentant à l'égard de la banque par l'octroi de prêts que la cliente lui aurait accordés, soit pour acheter un bien immobilier pour lui-même de 12 millions de francs, soit pour le montage de l'hypothèque - que la banque elle-même lui consentait -, soit encore pour ses besoins personnels. Les montants ont été virés soit sur le compte du représentant, soit sur un compte joint de celui-ci et de son épouse, pour être ensuite retransférés sur le compte de la société du représentant.</w:t>
      </w:r>
    </w:p>
    <w:p>
      <w:r>
        <w:t>Deux virements ont été justifiés différemment par le représentant : pour le premier (1'250'000 euros le 11 août 2008), il a affirmé qu'il s'agissait de l'octroi d'un prêt accordé à un membre de la famille de la cliente et, pour le second (150'000 USD le 25 octobre 2008), il n'a apporté aucune justification. Les deux montants ont été versés sur le compte du représentant (sans que la banque ne démontre qu'ils auraient ensuite été transférés sur un autre compte); ces circonstances ne jouent toutefois aucun rôle décisif au moment d'examiner le comportement de la banque selon l' art. 3 al. 2 CC .</w:t>
      </w:r>
    </w:p>
    <w:p>
      <w:r>
        <w:t>Le cas du dernier ordre (1'000'000 euros le 22 mai 2007) est différent, puisque le représentant l'a exécuté en passant par la plateforme</w:t>
      </w:r>
    </w:p>
    <w:p>
      <w:r>
        <w:t>e-banking de la cliente, celle-ci lui ayant donné son propre mot de passe. Il était dès lors impossible à la banque de savoir que l'ordre avait été donné par le représentant; dans ces conditions, on ne saurait reprocher à la banque de n'avoir pas interpellé la cliente pour obtenir des renseignements quant à l'étendue des pouvoirs du représentant. Cela étant, il faut considérer que le virement a été exécuté par la banque sur mandat de la cliente.</w:t>
      </w:r>
    </w:p>
    <w:p>
      <w:r>
        <w:rPr>
          <w:b/>
        </w:rPr>
        <w:t>E. 3.4.2</w:t>
      </w:r>
    </w:p>
    <w:p>
      <w:r>
        <w:t>En ce qui concerne les 9 ordres (encore litigieux) donnés par le représentant après août 2007, il convient d'emblée de relever le contexte particulier dans lequel ceux-ci s'inscrivaient (conflit d'intérêts de la banque) : les montants prélevés par le gérant, qui étaient placés sur ses comptes, servaient de garantie pour les crédits que la banque lui accordait. Dans cette situation, celle-ci se devait d'être particulièrement attentive, ce d'autant plus que le représentant a effectué 9 prélèvements, à chaque fois pour un montant important.</w:t>
      </w:r>
    </w:p>
    <w:p>
      <w:r>
        <w:t>La cour cantonale a en outre établi que, dans ce contexte particulier, le gestionnaire G.________, auxiliaire de la banque gérant les comptes de la cliente, a eu des doutes quant à la légitimation du représentant et qu'il s'est même trouvé " emprunté, ceci notamment compte tenu du lien d'amitié de plus de vingt ans [entre le représentant et la cliente] ". L'autre témoin (H.________, conseiller en investissement, auxiliaire de la banque), auquel se réfèrent explicitement les juges cantonaux, a déclaré qu'il s'était aussi " effectivement posé des questions ", qu'il en avait alors parlé à G.________ qui était compétent pour opérer une vérification, qu'ensemble "ils [s'étaient posé] des questions ", mais qu'" à sa connaissance rien n'avait été fait ".</w:t>
      </w:r>
    </w:p>
    <w:p>
      <w:r>
        <w:t>A ce constat (doutes des auxiliaires opposables à la banque selon l' art. 101 al. 1 CO ) s'ajoute le fait que le représentant, par ses prélèvements successifs, a finalement vidé totalement le compte de la cliente auprès de la banque.</w:t>
      </w:r>
    </w:p>
    <w:p>
      <w:r>
        <w:t>Dans ces conditions, on doit retenir que la banque n'a pas fait preuve de l'attention que les circonstances permettaient d'exiger d'elle ( art. 3 al. 2 CC ); elle aurait dû procéder à des vérifications auprès de la cliente.</w:t>
      </w:r>
    </w:p>
    <w:p>
      <w:r>
        <w:rPr>
          <w:b/>
        </w:rPr>
        <w:t>E. 3.4.3</w:t>
      </w:r>
    </w:p>
    <w:p>
      <w:r>
        <w:t>Les mêmes considérations valent aussi pour les quatre montants passés avant août 2007, lorsque les comptes étaient encore gérés par le gestionnaire E.________, même si celui-ci, entendu comme témoin, n'a pas exprimé les mêmes doutes. La banque se trouvait dans un conflit d'intérêts (les prélèvements opérés par le représentant servant de garantie pour les crédits qu'elle lui octroyait). Dès lors que ces virements effectués avant août 2007 portaient sur des montants en moyenne plus importants que ceux prélevés après août 2007, que, pour cette seconde période, pas moins de deux employés de la banque ont émis des doutes, et que l'ensemble des virements ont été ordonnés par le représentant toujours selon le même procédé (justifications similaires et mêmes comptes bénéficiaires), les circonstances permettaient d'attendre de la banque qu'elle effectue des vérifications supplémentaires suite aux ordres de virement importants donnés par le représentant.</w:t>
      </w:r>
    </w:p>
    <w:p>
      <w:r>
        <w:t>C'est d'ailleurs ce qu'elle a fait en lien avec le compte du fils de la cliente, puisqu'elle a pris la peine de solliciter une confirmation lorsque le représentant a ordonné un transfert de fonds du compte du fils en faveur de celui de sa mère.</w:t>
      </w:r>
    </w:p>
    <w:p>
      <w:r>
        <w:rPr>
          <w:b/>
        </w:rPr>
        <w:t>E. 3.4.4</w:t>
      </w:r>
    </w:p>
    <w:p>
      <w:r>
        <w:t>En conclusion, il convient d'admettre que, pour les 13 prélèvements encore litigieux, la banque aurait dû procéder à des vérifications auprès de la cliente. N'ayant pas fait preuve de l'attention requise par les circonstances, la banque ne peut, conformément à l' art. 3 al. 2 CC , se prévaloir de sa bonne foi en invoquant qu'elle s'est rapportée au contenu (objectif) de la procuration pour considérer que les opérations litigieuses étaient couvertes par celle-ci.</w:t>
      </w:r>
    </w:p>
    <w:p>
      <w:r>
        <w:rPr>
          <w:b/>
        </w:rPr>
        <w:t>E. 3.4.5</w:t>
      </w:r>
    </w:p>
    <w:p>
      <w:r>
        <w:t>Les objections soulevées par l'intimée n'infirment pas cette appréciation.</w:t>
      </w:r>
    </w:p>
    <w:p>
      <w:r>
        <w:t>C'est en vain que l'intimée se prévaut de la " relation étroite " qui existait entre le représentant et la cliente.</w:t>
      </w:r>
    </w:p>
    <w:p>
      <w:r>
        <w:t>Le constat selon lequel on ne se trouverait " nullement dans un cas de détournement classique ", ou que le représentant n'a falsifié aucun document appelle la même conclusion.</w:t>
      </w:r>
    </w:p>
    <w:p>
      <w:r>
        <w:t>L'intimée soutient qu'il n'y avait " pas lieu de procéder à des vérifications additionnelles, dès lors que les transferts opérés par le représentant étaient couverts par les procurations lui ayant été octroyées ". L'argument tombe à faux. La question des vérifications se pose lorsqu'il s'agit d'établir si la banque aurait dû savoir que le représentant avait abusé de ses pouvoirs (cf. supra consid. 3.2.3).</w:t>
      </w:r>
    </w:p>
    <w:p>
      <w:r>
        <w:t>Les commentaires qui précèdent peuvent être repris en lien avec les arguments similaires que l'intimée soulève, dans la partie de sa réponse portant explicitement sur sa " bonne foi " (consacrée à l'application de l' art. 33 al. 3 CO ), pour démontrer l'existence des pouvoirs de représentation.</w:t>
      </w:r>
    </w:p>
    <w:p>
      <w:r>
        <w:t>Les autres arguments soulevés par l'intimée, qui visent principalement le comportement de la représentée, ne permettent pas de remettre en cause les circonstances, établies en l'espèce, permettant l'application de l' art. 3 al. 2 CC et il est superflu de les examiner.</w:t>
      </w:r>
    </w:p>
    <w:p>
      <w:r>
        <w:rPr>
          <w:b/>
        </w:rPr>
        <w:t>E. 4</w:t>
      </w:r>
    </w:p>
    <w:p>
      <w:r>
        <w:t>Dans une deuxième étape, il faut examiner quelles règles sont applicables aux conséquences des 13 ordres de virement exécutés sans mandat, en raison du défaut de légitimation du représentant.</w:t>
      </w:r>
    </w:p>
    <w:p>
      <w:r>
        <w:rPr>
          <w:b/>
        </w:rPr>
        <w:t>E. 4.1</w:t>
      </w:r>
    </w:p>
    <w:p>
      <w:r>
        <w:t>Dans le système légal, le dommage découlant du paiement exécuté sans mandat par la banque (défaut de légitimation du représentant) est un dommage de celle-ci, non du client ( ATF 132 III 449 consid. 2 p. 452). En effet, conformément aux principes généraux applicables en matière d'exécution des obligations ( art. 68 ss CO ), la banque subit un dommage car, ayant payé à un non-créancier, elle est tenue de payer une seconde fois le montant, au client ( ATF 112 II 450 consid. 3a p. 454). Dans ces cas, la banque n'acquiert pas de prétention en remboursement qu'elle pourrait opposer à son client ( art. 402 al. 1 CO ; ATF 132 III 449 consid. 2 p. 452; arrêt 4A_379/2016 précité consid. 3.2.2).</w:t>
      </w:r>
    </w:p>
    <w:p>
      <w:r>
        <w:t>Les parties peuvent toutefois modifier conventionnellement la réglementation légale du risque de défaut de légitimation, en adoptant une clause de transfert de risque ( ATF 132 III 449 consid. 2 p. 452).</w:t>
      </w:r>
    </w:p>
    <w:p>
      <w:r>
        <w:rPr>
          <w:b/>
        </w:rPr>
        <w:t>E. 4.2</w:t>
      </w:r>
    </w:p>
    <w:p>
      <w:r>
        <w:t>En l'espèce, il ne ressort pas de l'arrêt attaqué que les parties auraient dérogé au système légal par l'adoption d'une telle clause, en ce sens que le risque découlant du défaut de légitimation, normalement supporté par la banque, aurait été reporté sur le client. La banque ne le soutient d'ailleurs pas. Il s'ensuit que le dommage découlant de ces 13 virements indus est un dommage de la banque.</w:t>
      </w:r>
    </w:p>
    <w:p>
      <w:r>
        <w:rPr>
          <w:b/>
        </w:rPr>
        <w:t>E. 5</w:t>
      </w:r>
    </w:p>
    <w:p>
      <w:r>
        <w:t>Dans la troisième étape enfin, lorsque le système légal est applicable aux conséquences du défaut de légitimation (c'est-à-dire en l'absence de clause de transfert de risque), il faut examiner, sur prétention en dommages-intérêts invoquée en compensation par la banque contre le client, si celui-ci a fautivement contribué à causer ou à aggraver le dommage de la banque.</w:t>
      </w:r>
    </w:p>
    <w:p>
      <w:r>
        <w:rPr>
          <w:b/>
        </w:rPr>
        <w:t>E. 5.1</w:t>
      </w:r>
    </w:p>
    <w:p>
      <w:r>
        <w:t>Selon la jurisprudence, la banque, qui subit le dommage du fait de l'exécution d'un paiement sans mandat, peut tout au plus demander des dommages-intérêts à son client si celui-ci a fautivement contribué à causer ou à aggraver le dommage qu'elle a ainsi subi (art. 97 al. 1 et/ou art. 41 al. 1 CO ; ATF 111 II 263 consid. 1c et 2a; arrêt 4A_119/2018 précité consid. 5.2). Il s'agit là d'une " action " en dommages-intérêts de la banque contre son client fondée principalement sur l' art. 97 al. 1 CO que celle-ci oppose en compensation à l'action en restitution de l'avoir en compte introduite par le client.</w:t>
      </w:r>
    </w:p>
    <w:p>
      <w:r>
        <w:t>La responsabilité de l' art. 97 al. 1 CO , qui repose ici sur le rapport juridique noué entre les parties, est soumise à quatre conditions: la violation du contrat, le dommage, le rapport de causalité (naturelle et adéquate) entre la violation contractuelle et le dommage, ainsi que la faute.</w:t>
      </w:r>
    </w:p>
    <w:p>
      <w:r>
        <w:t>Dans le cadre de la prétention compensante de la banque contre le client, le dommage (deuxième condition) est celui subi par la banque et correspond au montant que celle-ci doit payer une seconde fois, au client, en raison des transferts qu'elle a exécutés sans mandat de celui-ci.</w:t>
      </w:r>
    </w:p>
    <w:p>
      <w:r>
        <w:t>Le non-respect de ses obligations contractuelles par le client, présumé fautif (quatrième condition), contribue au dommage ou en entraîne l'aggravation (troisième condition).</w:t>
      </w:r>
    </w:p>
    <w:p>
      <w:r>
        <w:t>Le client viole ses obligations contractuelles (première condition) lorsque, d'une manière ou d'une autre, il contribue à causer le dommage parce qu'il incite la banque à procéder au transfert indu (arrêts 4A_54/2009 du 20 avril 2009 consid. 1; 4A_438/2007 précité consid. 5.1) ou parce qu'il contribue à aggraver le dommage (arrêts 4A_119/2018 précité consid. 5.2 et 6; 4A_379/2016 précité consid. 3.2.2 et 5.4). Selon la jurisprudence, le client contribue à aggraver le dommage de la banque, notamment en ne contestant pas les écritures irrégulières ou infondées qu'il aurait pu ou dû constater en consultant les relevés de compte qu'il a reçus ou en ne relevant pas, ni ne contrôlant son courrier en banque restante (i.e. en ne surveillant pas son gérant indépendant) (arrêt 4A_119/2018 précité consid. 5.2 et 6).</w:t>
      </w:r>
    </w:p>
    <w:p>
      <w:r>
        <w:rPr>
          <w:b/>
        </w:rPr>
        <w:t>E. 5.2</w:t>
      </w:r>
    </w:p>
    <w:p>
      <w:r>
        <w:t>En l'espèce, la cour cantonale n'a pas examiné la cause sous cet angle, puisqu'elle a considéré que les 13 ordres de virement exécutés par la banque étaient couverts par la procuration " générale et illimitée ".</w:t>
      </w:r>
    </w:p>
    <w:p>
      <w:r>
        <w:t>La Cour de céans peut toutefois renoncer à lui renvoyer la cause dès lors que la banque n'a pas démontré avoir, devant les autorités précédentes et en conformité avec les règles de la procédure, allégué les faits et fourni les moyens de preuve propres à établir l'existence et la quotité de la prétention qu'elle entendait opposer en compensation, en indiquant les passages topiques de ses écritures et en renvoyant précisément aux pièces du dossier ( ATF 140 III 86 consid. 2 p. 90). Le seul fait qu'elle ait invoqué, dans sa réponse en première instance, l'art. 7 de ses Conditions générales n'est à cet égard pas suffisant.</w:t>
      </w:r>
    </w:p>
    <w:p>
      <w:r>
        <w:t>Pour les 13 ordres concernés, l'action en restitution de la cliente doit donc être admise, la prétention opposée en compensation par la banque étant rejetée.</w:t>
      </w:r>
    </w:p>
    <w:p>
      <w:r>
        <w:rPr>
          <w:b/>
        </w:rPr>
        <w:t>E. 6</w:t>
      </w:r>
    </w:p>
    <w:p>
      <w:r>
        <w:t>Il découle de ce qui précède que l'action en restitution de la cliente contre la banque doit être partiellement admise à concurrence des montants de 5'450'000 euros, 6'050'000 fr. et 150'000 USD.</w:t>
      </w:r>
    </w:p>
    <w:p>
      <w:r>
        <w:t>L'intimée fait partir le cours des intérêts à compter du dépôt de la demande (recte: de l'action) le 22 (recte: 23) mars 2013, faute de mise en demeure préalable. Dans sa réplique, la cliente ne prend pas position sur cette question. Il ne résulte pas de l'arrêt attaqué qu'elle aurait été mise en demeure avant le dépôt de l'action par requête de conciliation. Les intérêts courront dès lors à partir du 23 mars 2013.</w:t>
      </w:r>
    </w:p>
    <w:p>
      <w:r>
        <w:rPr>
          <w:b/>
        </w:rPr>
        <w:t>E. 7</w:t>
      </w:r>
    </w:p>
    <w:p>
      <w:r>
        <w:t>Le recours doit être partiellement admis et l'arrêt attaqué réformé en ce sens que la banque défenderesse doit être condamnée à payer à la cliente demanderesse les montants de 5'450'000 euros, 6'050'000 fr. et 150'000 USD, chaque montant avec intérêts à 5% l'an dès le 23 mars 2013. Les frais judiciaires et les dépens seront répartis à la charge des parties en proportion de l'admission de leurs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