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4A_504/2015 vom 28. Januar 2016</w:t>
      </w:r>
    </w:p>
    <w:p>
      <w:r>
        <w:t>Bundesgericht, 2016-01-28, DE</w:t>
      </w:r>
    </w:p>
    <w:p>
      <w:r>
        <w:rPr>
          <w:b/>
        </w:rPr>
        <w:t xml:space="preserve">Quelle: </w:t>
      </w:r>
      <w:r>
        <w:t>https://mcp.opencaselaw.ch/entscheid/bger_4A_504_2015</w:t>
      </w:r>
    </w:p>
    <w:p>
      <w:r>
        <w:t>FR: TF 4A_504/2015 du 28 janvier 2016</w:t>
      </w:r>
    </w:p>
    <w:p>
      <w:r>
        <w:t>IT: TF 4A_504/2015 del 28 gennaio 2016</w:t>
      </w:r>
    </w:p>
    <w:p>
      <w:pPr>
        <w:pStyle w:val="Heading2"/>
      </w:pPr>
      <w:r>
        <w:t>Erwägungen</w:t>
      </w:r>
    </w:p>
    <w:p>
      <w:r>
        <w:rPr>
          <w:b/>
        </w:rPr>
        <w:t>E. 1</w:t>
      </w:r>
    </w:p>
    <w:p>
      <w:r>
        <w:t>Die Beschwerde hat einen Streit um zivilrechtliche Ansprüche zum Gegenstand ( Art. 72 BGG ), sie richtet sich gegen den Entscheid eines oberen kantonalen Gerichts, das als Rechtsmittelinstanz ( Art. 75 BGG ) die Forderung der Beschwerdeführerin 2 endgültig abgewiesen hat ( Art. 90 BGG ). Der Streitwert ist erreicht ( Art. 74 Abs. 1 lit. b BGG ) und die Beschwerdefrist ist eingehalten ( Art. 100 Abs. 1 BGG ).</w:t>
      </w:r>
    </w:p>
    <w:p>
      <w:r>
        <w:rPr>
          <w:b/>
        </w:rPr>
        <w:t>E. 1.1</w:t>
      </w:r>
    </w:p>
    <w:p>
      <w:r>
        <w:t>Zur Beschwerde in Zivilsachen ist gemäss Art. 76 BGG legitimiert, wer (a) vor der Vorinstanz am Verfahren teilgenommen hat oder keine Möglichkeit zur Teilnahme erhalten hat; und (b) durch den angefochtenen Entscheid besonders berührt ist und ein schutzwürdiges Interesse an dessen Aufhebung oder Änderung hat.</w:t>
      </w:r>
    </w:p>
    <w:p>
      <w:r>
        <w:rPr>
          <w:b/>
        </w:rPr>
        <w:t>E. 1.1.1</w:t>
      </w:r>
    </w:p>
    <w:p>
      <w:r>
        <w:t>Die Beschwerdeführerin 2 hat am vorinstanzlichen Verfahren teilgenommen und sie ist mit ihren vor Vorinstanz gestellten Anträgen unterlegen. Damit ist sie nach allgemeinen Grundsätzen zur Beschwerde legitimiert. Ob sie allerdings aufgrund der Bedingungen des "Kaufvertrages über Forderungsabtretung" noch ein Interesse an der materiellen Beurteilung der Beschwerde hat, erscheint fraglich. Denn nur ("einzig") für den Fall der Abweisung der Beschwerde hat sie nach diesem Vertrag dem Beschwerdeführer 1 noch Fr. 1'000.-- zu bezahlen, während der Fall des Nichteintretens nicht geregelt ist. Sie hat allerdings mit ihrer Unterschrift unter die Beschwerde ausdrücklich erklärt, sie willige ein, die Beschwerde auch in ihrem Namen einzubringen und die Beschwerde sei in ihrem Namen zu behandeln, wenn die Beschwerdelegitimation des Beschwerdeführers 1 nicht gegeben sein sollte. Darauf ist sie zu behaften.</w:t>
      </w:r>
    </w:p>
    <w:p>
      <w:r>
        <w:rPr>
          <w:b/>
        </w:rPr>
        <w:t>E. 1.1.2</w:t>
      </w:r>
    </w:p>
    <w:p>
      <w:r>
        <w:t>Der Beschwerdeführer 1 hat am Verfahren vor Vorinstanz nicht teilgenommen und die Teilnahme wurde ihm auch nicht zu Unrecht verweigert ( Art. 76 Abs. 1 lit. a BGG ). Er legt dar, dass er wegen angeblicher Unfähigkeit der Anwältin der Beschwerdeführerin 2 deren Rechtsschriften im kantonalen Verfahren verfasste. Als Partei war der Beschwerdeführer 1 am kantonalen Verfahren nicht beteiligt. Denn allfällige Rechte am Streitgegenstand erwarb er erst durch die Abtretung der eingeklagten Forderung am 14. September 2015 und damit nach Erlass des angefochtenen Entscheides. Er leitet aus der Veräusserung des Streitgegenstandes während der Beschwerdefrist an das Bundesgericht das Recht ab, an Stelle der veräussernden Partei in den Prozess einzutreten. Diese Möglichkeit besteht zwar nach Art. 83 ZPO , jedoch nicht im Beschwerdeverfahren vor Bundesgericht. Denn der Parteiwechsel ist im BGG nicht geregelt, weshalb ergänzend die Vorschriften des BZP sinngemäss Anwendung finden ( Art. 71 BGG ). Nach Art. 17 Abs. 1 BZP ist der Wechsel der Partei nur mit Zustimmung der Gegenpartei gestattet; die Rechtsnachfolge auf Grund von Gesamtnachfolge sowie kraft besonderer gesetzlicher Bestimmungen gilt nicht als Parteiwechsel ( Art. 17 Abs. 3 BZP ).</w:t>
      </w:r>
    </w:p>
    <w:p>
      <w:r>
        <w:t>Im vorliegenden Fall ist der Beschwerdeführer weder Gesamtrechtsnachfolger noch kann er sich auf eine gesetzliche Bestimmung berufen (vgl. etwa Urteil 4C.291/2006 vom 28. November 2006 E. 1.3 betr. Art. 261 Abs. 1 OR ). Er beruft sich vielmehr auf die gewillkürte Abtretung des Streitgegenstandes. Er kann daher ohne Einverständnis der Beschwerdegegnerin nicht in den Prozess eintreten (Urteil 1C_32/2007 vom 18. Oktober 2007 E. 1.1, vgl. für die entsprechende Regelung nach OG: BGE 116 Ia 221 E. 1b S. 223). Die Beschwerdegegnerin hat ihr Einverständnis ausdrücklich verweigert.</w:t>
      </w:r>
    </w:p>
    <w:p>
      <w:r>
        <w:rPr>
          <w:b/>
        </w:rPr>
        <w:t>E. 1.1.3</w:t>
      </w:r>
    </w:p>
    <w:p>
      <w:r>
        <w:t>Auf die Beschwerde des Beschwerdeführers 1 ist nicht einzutreten, ohne dass geprüft werden müsste, ob die Abtretung zur Umgehung des Anwaltsmonopols ( Art. 40 BGG ) erfolgt ist. Da die Beschwerdeführerin 2 die Eingabe eigenhändig unterzeichnet hat, ist auf ihre Beschwerde einzutreten.</w:t>
      </w:r>
    </w:p>
    <w:p>
      <w:r>
        <w:rPr>
          <w:b/>
        </w:rPr>
        <w:t>E. 1.2</w:t>
      </w:r>
    </w:p>
    <w:p>
      <w:r>
        <w:t>Nach Art. 99 Abs. 2 BGG sind neue Begehren unzulässig.</w:t>
      </w:r>
    </w:p>
    <w:p>
      <w:r>
        <w:t>Die Vorinstanz hat die Anträge der Beschwerdeführerin 2 im Lichte der Begründung ausgelegt. Danach hat die Beschwerdeführerin 2 namentlich die Zusprechung eines Betrages von Fr. 94'000.-- gefordert. Insoweit geht der Hauptantrag in der Eingabe an das Bundesgericht nicht darüber hinaus, betreffen doch die weiteren Positionen Verfahrens- und Nebenkosten, welche die Beschwerdeführerin 2 vor Vorinstanz eingeklagt hatte. Der eventuelle Antrag auf Rückweisung der Sache ist unter diesen Umständen als weniger weitgehender Antrag ebenfalls zulässig ( Art. 107 Abs. 2 BGG ). In der Beschwerde wird zwar die Bezahlung des eingeklagten Betrages an den Beschwerdeführer 1 beantragt, was an sich eine unzulässige Änderung des Begehrens bedeuten würde. Da die Änderung jedoch offensichtlich im Zusammenhang steht mit dem - unzulässigen - Parteiwechsel, ist das Begehren nach Treu und Glauben so zu verstehen, dass die Beschwerdeführerin 2 Bezahlung des umstrittenen Betrages an sich fordert. Im Übrigen ist das Begehren tatsächlich unmöglich, soweit es sich ausdrücklich auf Art. 327 ZPO stützt. Das Begehren ist so auszulegen, dass die angeführten Gesetzesnormen unbeachtet bleiben.</w:t>
      </w:r>
    </w:p>
    <w:p>
      <w:r>
        <w:rPr>
          <w:b/>
        </w:rPr>
        <w:t>E. 1.3</w:t>
      </w:r>
    </w:p>
    <w:p>
      <w:r>
        <w:t>Die Beschwerde ist zu begründen ( Art. 42 Abs. 2 BGG ).</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S. 584; 133 II 249 E. 1.4.1 S. 254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140 III 115 E. 2 S. 116, 133 II 396 E. 3.1 S. 400).</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Nur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Zivilsachen frei überprüft werden ( BGE 136 III 486 E. 5 S. 489; 132 III 305 E. 3.5 S. 311; 122 III 61 E. 2c/bb S. 65; 117 II 256 E. 2b S. 258, je mit Hinweisen). Im Übrigen gilt bei der Rüge der offensichtlich unrichtigen Sachverhaltsfeststellung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2</w:t>
      </w:r>
    </w:p>
    <w:p>
      <w:r>
        <w:t>Die Beschwerdeführerin 2 leitet ihre Forderung gegen die Beschwerdegegnerin aus einem angeblichen Arbeitsvertrag ab, welche ihre Rechtsvorgängerin D.________ während deren Konkubinat mit einem der Gesellschafter der Beschwerdegegnerin eingegangen sei. Sie fordert für Arbeitsleistungen während 47 Monaten (vom 1. Dezember 2007 bis 31. Oktober 2011) einen Lohn von Fr. 2'000.-- monatlich.</w:t>
      </w:r>
    </w:p>
    <w:p>
      <w:r>
        <w:rPr>
          <w:b/>
        </w:rPr>
        <w:t>E. 2.1</w:t>
      </w:r>
    </w:p>
    <w:p>
      <w:r>
        <w:t>Durch den Einzelarbeitsvertrag verpflichtet sich der Arbeitnehmer auf bestimmte oder unbestimmte Zeit zur Leistung von Arbeit im Dienst des Arbeitgebers und dieser zur Entrichtung eines Lohnes, der nach Zeitabschnitten (Zeitlohn) oder nach der geleisteten Arbeit (Akkordlohn) bemessen wird ( Art. 319 Abs. 1 OR ). Als Einzelarbeitsvertrag gilt auch der Vertrag, durch den sich ein Arbeitnehmer zur regelmässigen Leistung von stunden-, halbtage- oder tageweiser Arbeit (Teilzeitarbeit) im Dienst des Arbeitgebers verpflichtet ( Art. 319 Abs. 2 OR ). Der Einzelarbeitsvertrag bedarf mangels anderer Gesetzesnorm keiner besonderen Form ( Art. 320 Abs. 1 OR ). Er gilt auch dann als abgeschlossen, wenn der Arbeitgeber Arbeit in seinem Dienst auf Zeit entgegennimmt, deren Leistung nach den Umständen nur gegen Lohn zu erwarten ist ( Art. 320 Abs. 2 OR ).</w:t>
      </w:r>
    </w:p>
    <w:p>
      <w:r>
        <w:rPr>
          <w:b/>
        </w:rPr>
        <w:t>E. 2.1.1</w:t>
      </w:r>
    </w:p>
    <w:p>
      <w:r>
        <w:t>Der Arbeitsvertrag weist nach der gesetzlichen Definition im Wesentlichen vier Merkmale auf: Es ist Arbeit gegen Entgelt in einem Dauerschuldverhältnis geschuldet, die in einer fremden Arbeitsorganisation und damit in einem Unterordnungsverhältnis geleistet wird (vgl. nur Urteile 4A_344/2015 vom 10. Dezember 2015 E. 3.4; 4A_200/2015 vom 3. September 2015 E. 4.2.1).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 Er wird in eine hierarchische Struktur eingebettet. Die Schwierigkeit liegt allerdings darin, dass auch bei anderen Verträgen auf Arbeitsleistung, zum Beispiel beim Auftrag, ein Weisungsrecht besteht. Es kommt deshalb auf das Mass der Weisungsgebundenheit an (vgl. BGE 125 III 78 E. 4 S. 81; Urteil 4A_553/2008 vom 9. Februar 2009 E. 4.1; vgl. auch STREIFF/VON KAENEL/RUDOLF, Arbeitsvertrag, 7. Aufl. 2012, N. 2 zu Art. 319 OR ; WYLER/HEINZER, Droit du travail, 3. Aufl. 2014, S. 36).</w:t>
      </w:r>
    </w:p>
    <w:p>
      <w:r>
        <w:rPr>
          <w:b/>
        </w:rPr>
        <w:t>E. 2.1.2</w:t>
      </w:r>
    </w:p>
    <w:p>
      <w:r>
        <w:t>Die Beweislast für das Zustandekommen des Arbeitsvertrages und dessen Inhalt trägt nach Art. 8 ZGB , wer daraus Rechte ableitet. Wer daher Lohnansprüche aus einem Arbeitsverhältnis ableitet, hat dessen Bestand zu beweisen ( BGE 125 III 78 E. 3b S. 80). Die beweisbelastete Partei hat die Tatsachen zu behaupten und zu beweisen, aus denen sie den Bestand des Arbeitsvertrags ableitet. Wird namentlich der konkludente Abschluss eines Arbeitsverhältnisses durch Entgegennahme von Arbeitsleistungen auf Zeit behauptet, die nach den Umständen nur gegen Lohn zu erwarten ist, so sind die Tatsachen zu behaupten und zu beweisen, welche für den Arbeitsvertrag typisch sind, insbesondere die Arbeitsleistung, das Motiv der Entlöhnung, die Eingliederung in eine fremde Arbeitsorganisation mit entsprechender Weisungsbefugnis des Arbeitgebers und eine Dauerbeziehung (WYLER/HEINZER, a.a.O., S. 36). Denn auch wenn diese objektiven Umstände ohne ausdrückliche Willenserklärungen der Parteien zum Abschluss eines Arbeitsvertrags führen, liegt ein Arbeitsvertrag nur vor, wenn dessen charakteristische Elemente gegeben sind. Dies gilt insbesondere auch für die Entgeltlichkeit, die mangels ausdrücklicher Vereinbarung danach zu beurteilen ist, ob die Arbeit nach den Umständen nur gegen Entgelt zu erwarten ist (STREIFF/VON KAENEL/RUDOLF, a.a.O., N. 6 zu Art. 320 OR ).</w:t>
      </w:r>
    </w:p>
    <w:p>
      <w:r>
        <w:rPr>
          <w:b/>
        </w:rPr>
        <w:t>E. 2.1.3</w:t>
      </w:r>
    </w:p>
    <w:p>
      <w:r>
        <w:t>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allerdings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werden kann ( BGE 127 III 365 E. 2b S. 368, Urteil 4A_539/2014 vom 7. Mai 2015 E. 3.4 mit Hinweisen).</w:t>
      </w:r>
    </w:p>
    <w:p>
      <w:r>
        <w:rPr>
          <w:b/>
        </w:rPr>
        <w:t>E. 2.2</w:t>
      </w:r>
    </w:p>
    <w:p>
      <w:r>
        <w:t>Nach den Feststellungen der Vorinstanz zum Prozesssachverhalt hat die Beschwerdeführerin 2 behauptet, die Beschwerdegegnerin habe von D.________ Arbeit entgegen genommen, deren Leistung nach den Umständen nur gegen Lohn zu erwarten war. Die Vorinstanz hat zutreffend geschlossen, dass die Beschwerdeführerin 2 damit zur Substanziierung ihres Anspruchs die Tatsachen zu behaupten und zu beweisen hatte, welche namentlich die Einordnung in die Arbeitsorganisation der Beschwerdegegnerin belegen können und welche die Annahme erlauben, die Leistung sei nur gegen Entgelt zu erwarten. Die Vorinstanz hat der Beschwerdeführerin 2 vorgehalten, dass sie bloss Tatsachen zur Höhe des Lohnes und zur Arbeitszeit vorgebracht hatte und trotz Kenntnis der Bestreitung durch die Beschwerdegegnerin ihre Vorbringen nicht in Einzeltatsachen zergliedert so umfassend und klar dargelegt hatte, dass darüber Beweis abgenommen oder der Gegenbeweis angetreten werden konnte.</w:t>
      </w:r>
    </w:p>
    <w:p>
      <w:r>
        <w:rPr>
          <w:b/>
        </w:rPr>
        <w:t>E. 2.3</w:t>
      </w:r>
    </w:p>
    <w:p>
      <w:r>
        <w:t>Die Vorinstanz hat die bundesrechtlichen Anforderungen an die Behauptungslast zutreffend dargestellt und angewendet. Die Beschwerdeführerin 2 hält daran fest, dass sie ihrer Substanziierungspflicht genügt habe, indem sie in der Klageschrift unmissverständlich behauptet habe, D.________ habe "sowohl im gemeinsamen Haushalt rund 20-30 Stunden, als auch für die C.________ im Umfang von über 50 Stellenprozent gearbeitet". Sie bestätigt damit, dass sie bestimmte Tatsachen nicht behauptet hat, welche den Schluss auf die Eingliederung von D.________ in den Betrieb der Beschwerdegegnerin und deren Gebundenheit an Weisungen der Beschwerdegegnerin erlauben würden. Sie beanstandet die Rechtsauffassung der Vorinstanz zu Unrecht, wenn sie sich dagegen wendet, dass sie jede einzelne Tätigkeit ihrer Rechtsvorgängerin für die Beschwerdegegnerin nach Art und Umfang hätte behaupten und die Beweise dafür anführen müssen. Sie verkennt ihre Behauptungs- und Beweislast, wenn sie darlegt, wie sich die Beschwerdegegnerin aus ihrer Sicht gegen die allgemeine Behauptung hätte verteidigen können, wonach "Arbeit im Umfang von 50 Stellenprozenten" verrichtet worden sei. Mangels gehöriger Substanziierung war eine konkrete Bestreitung nicht möglich und entsprechend ist die Vorinstanz entgegen der Ansicht der Beschwerdeführerin 2 auch zu Recht nicht davon ausgegangen, die behauptete Arbeitsleistung von "50 Stellenprozenten" sei unbestritten geblieben. Die Vorbringen in der Beschwerde - sowohl unter der Überschrift "Begründung Hauptantrag" wie "Begründung Eventualantrag, Ausführungen zur Behauptungslast" zeigen, dass die Feststellung der Vorinstanz zutrifft, wonach die Beschwerdeführerin 2 den Umfang ihrer Behauptungslast verkennt. Die Vorinstanz hat ihre zutreffende Ansicht im angefochtenen Urteil hinreichend begründet und für die Ausübung der richterlichen Fragepflicht besteht bei fehlenden Behauptungen keine Grundlage ( Art. 56 ZPO ).</w:t>
      </w:r>
    </w:p>
    <w:p>
      <w:r>
        <w:rPr>
          <w:b/>
        </w:rPr>
        <w:t>E. 2.4</w:t>
      </w:r>
    </w:p>
    <w:p>
      <w:r>
        <w:t>Entgegen der Ansicht der Beschwerdeführerin 2 besteht für eine Beweisabnahme keine Grundlage, wenn hinreichend substanziierte Behauptungen fehlen. Das Beweisverfahren dient nicht dazu, fehlende Behauptungen zu ersetzen oder zu ergänzen; vielmehr sind die rechtlich erheblichen Tatsachen so schlüssig zu behaupten, dass sie nicht nur die (rechtliche) Beurteilung ermöglichen, ob der eingeklagte Anspruch besteht, sondern dass darüber im Bestreitungsfall auch Beweis erhoben werden kann. Die Beschwerdeführerin 2 verkennt mit ihren Vorbringen der Beschwerdeschrift, dass ihr die Beweislast und damit die Behauptungslast obliegt, während sich die Gegenpartei mit blosser Bestreitung begnügen kann und diese Bestreitung nicht begründen muss. Im Übrigen ist nicht verständlich, weshalb die Anforderungen an die Substanziierung zu mindern wären, weil sie als Zessionarin nicht in der Lage sein sollte, sich die erforderlichen Informationen zu beschaffen; im Geltungsbereich der Verhandlungsmaxime hat vielmehr die klagende Partei die tatsächlichen Grundlagen ihres Anspruchs zur vollen Überzeugung des Gerichts in eigener Verantwortung zu behaupten und zu beweisen. Schliesslich ist nicht ersichtlich, was die Beschwerdeführerin 2 mit ihren Ausführungen zum Klagewechsel und zur unbezifferten Forderungsklage erreichen will, nachdem sie in ihrer Beschwerde an das Bundesgericht die Forderung beziffert. Es wäre ihr im kantonalen Verfahren oblegen, die Art und den Umfang der angeblichen Tätigkeiten von D.________ für die Beschwerdegegnerin während den 47 Monaten zwischen Dezember 2007 und Ende Oktober 2011 konkret zu behaupten, um ihre Forderung für Arbeit zu substanziieren, die sie angeblich "im Umfang von über 50 Stellenprozenten" geleistet hatte. Die Vorinstanz hat Bundesrecht nicht verletzt, wenn sie mit der ersten Instanz verneint hat, dass die Beschwerdeführerin 2 ihrer Substanziierungspflicht nachgekommen ist.</w:t>
      </w:r>
    </w:p>
    <w:p>
      <w:r>
        <w:rPr>
          <w:b/>
        </w:rPr>
        <w:t>E. 3</w:t>
      </w:r>
    </w:p>
    <w:p>
      <w:r>
        <w:t>Auf die Beschwerde des Beschwerdeführers 1 ist nicht einzutreten. Die Beschwerde der Beschwerdeführerin 2 ist abzuweisen, soweit darauf einzutreten ist. Diesem Ausgang des Verfahrens entsprechend sind die Gerichtskosten den Beschwerdeführern zu auferlegen ( Art. 66 Abs. 1 und 5 BGG ). Diese haben (solidarisch) der Beschwerdegegnerin deren Parteikosten für das bundesgerichtliche Verfahren zu ersetzen ( Art. 68 Abs. 1, 2 und 4 BGG ). Gerichtskosten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