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4A_503/2022 vom 1. Dezember 2022</w:t>
      </w:r>
    </w:p>
    <w:p>
      <w:r>
        <w:t>Bundesgericht, 2022-12-01, DE</w:t>
      </w:r>
    </w:p>
    <w:p>
      <w:r>
        <w:rPr>
          <w:b/>
        </w:rPr>
        <w:t xml:space="preserve">Quelle: </w:t>
      </w:r>
      <w:r>
        <w:t>https://mcp.opencaselaw.ch/entscheid/bger_4A_503_2022</w:t>
      </w:r>
    </w:p>
    <w:p>
      <w:r>
        <w:t>FR: TF 4A_503/2022 du 1 décembre 2022</w:t>
      </w:r>
    </w:p>
    <w:p>
      <w:r>
        <w:t>IT: TF 4A_503/2022 del 1 dicembre 2022</w:t>
      </w:r>
    </w:p>
    <w:p>
      <w:pPr>
        <w:pStyle w:val="Heading2"/>
      </w:pPr>
      <w:r>
        <w:t>Erwägungen</w:t>
      </w:r>
    </w:p>
    <w:p>
      <w:r>
        <w:rPr>
          <w:b/>
        </w:rPr>
        <w:t>E. 1</w:t>
      </w:r>
    </w:p>
    <w:p>
      <w:r>
        <w:t>Das Bezirksgericht March verpflichtete mit Urteil vom 17. Juni 2021 die Beschwerdeführerin, der Beschwerdegegnerin Fr. 28'400.-- nebst Zins zu bezahlen, hob den Rechtsvorschlag im entsprechenden Umfang auf und erteilte der Beschwerdegegnerin die definitive Rechtsöffnung.</w:t>
      </w:r>
    </w:p>
    <w:p>
      <w:r>
        <w:t>Dagegen erhob die Beschwerdeführerin Berufung an das Kantonsgericht Schwyz. Das Kantonsgericht wies die Berufung mit Urteil vom 10. Oktober 2022 ab, soweit es darauf eintrat, und bestätigte das Urteil des Bezirksgerichts.</w:t>
      </w:r>
    </w:p>
    <w:p>
      <w:r>
        <w:t>Dagegen erhebt die Beschwerdeführerin Beschwerde an das Bundesgericht. Auf das Einholen von Vernehmlassungen zur Beschwerde wurde verzichtet.</w:t>
      </w:r>
    </w:p>
    <w:p>
      <w:r>
        <w:rPr>
          <w:b/>
        </w:rPr>
        <w:t>E. 2</w:t>
      </w:r>
    </w:p>
    <w:p>
      <w:r>
        <w:t>Die Beschwerdeführerin beruft sich darauf, dass der Streitwert entgegen den Feststellungen der Vorinstanz mehr als Fr. 30'000.-- betrage und sich im Weiteren Rechtsfragen von grundsätzlicher Bedeutung stellten, sodass ihre Eingabe als Beschwerde in Zivilsachen entgegen zu nehmen sei.</w:t>
      </w:r>
    </w:p>
    <w:p>
      <w:r>
        <w:t>Wie es sich damit verhält, braucht hier nicht entschieden zu werden. Selbst wenn die Eingabe der Beschwerdeführerin als Beschwerde in Zivilsachen entgegen genommen wird, ist auf sie mangels hinreichender Begründung nicht einzutreten, wie nachfolgend gezeigt wird.</w:t>
      </w:r>
    </w:p>
    <w:p>
      <w:r>
        <w:rPr>
          <w:b/>
        </w:rPr>
        <w:t>E. 3.1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Die Beschwerdeführerin kritisiert in ihrer Eingabe in mehrfacher Weise die Sachverhaltsfeststellungen der Vorinstanz, wobei die diesbezüglichen Ausführungen die Begründungsanforderungen an Sachverhaltsrügen offensichtlich nicht erfüllen (Erwägung 3.2). Im Weiteren geht sie in ihrer Eingabe über die Sachverhaltsfeststellungen der Vorinstanz hinaus, ohne eine Sachverhaltsrüge zu erheben, zumindest offensichtlich keine hinreichend begründete.</w:t>
      </w:r>
    </w:p>
    <w:p>
      <w:r>
        <w:rPr>
          <w:b/>
        </w:rPr>
        <w:t>E. 4.2</w:t>
      </w:r>
    </w:p>
    <w:p>
      <w:r>
        <w:t>Auch im Übrigen erfüllt die Eingabe der Beschwerdeführerin die oben genannten Begründungsanforderungen offensichtlich nicht (Erwägung 3.1). Sie rügt zwar, dass die Vorinstanz überspitzt formalistisch, willkürlich und diskriminierend gehandelt sowie ihren Anspruch auf rechtliches Gehör sowie die Dispositionsmaxime verletzt habe. Sie ruft in ihrer Eingabe sodann unter anderem Art. 8 BV , Art. 20 AVG , Art. 48 AVV sowie zahlreiche Bestimmungen aus dem anwendbaren Gesamtarbeitsvertrag an. Die Beschwerdeführerin legt vor Bundesgericht aber bloss in frei gehaltenen Ausführungen ihre Sicht der Dinge dar, ohne indessen auf die ausführlichen Erwägungen der Vorinstanz hinreichend konkret einzugehen, geschweige denn nachvollziehbar aufzuzeigen, inwiefern diese ihre Rechte verletzt haben soll.</w:t>
      </w:r>
    </w:p>
    <w:p>
      <w:r>
        <w:t>Auf die Beschwerde ist somit mangels hinreichender Begründung nicht einzutreten ( Art. 108 Abs. 1 lit. b BGG ).</w:t>
      </w:r>
    </w:p>
    <w:p>
      <w:r>
        <w:rPr>
          <w:b/>
        </w:rPr>
        <w:t>E. 5</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