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503/2019 vom 6. Januar 2020</w:t>
      </w:r>
    </w:p>
    <w:p>
      <w:r>
        <w:t>Bundesgericht, 2020-01-06, DE</w:t>
      </w:r>
    </w:p>
    <w:p>
      <w:r>
        <w:rPr>
          <w:b/>
        </w:rPr>
        <w:t xml:space="preserve">Quelle: </w:t>
      </w:r>
      <w:r>
        <w:t>https://mcp.opencaselaw.ch/entscheid/bger_4A_503_2019</w:t>
      </w:r>
    </w:p>
    <w:p>
      <w:r>
        <w:t>FR: TF 4A 503/2019 du 6 janvier 2020</w:t>
      </w:r>
    </w:p>
    <w:p>
      <w:r>
        <w:t>IT: TF 4A 503/2019 del 6 gennaio 2020</w:t>
      </w:r>
    </w:p>
    <w:p>
      <w:pPr>
        <w:pStyle w:val="Heading2"/>
      </w:pPr>
      <w:r>
        <w:t>Regeste</w:t>
      </w:r>
    </w:p>
    <w:p>
      <w:r>
        <w:t>Anfechtung des Anfangsmietzinses | Vertragsrecht</w:t>
      </w:r>
    </w:p>
    <w:p>
      <w:pPr>
        <w:pStyle w:val="Heading2"/>
      </w:pPr>
      <w:r>
        <w:t>Erwägungen</w:t>
      </w:r>
    </w:p>
    <w:p>
      <w:r>
        <w:rPr>
          <w:b/>
        </w:rPr>
        <w:t>E. 1.1</w:t>
      </w:r>
    </w:p>
    <w:p>
      <w:r>
        <w:t>Das angefochtene Urteil des Obergerichts ist ein Endentscheid ( Art. 90 BGG ) einer Vorinstanz im Sinne von Art. 75 BGG . Weiter erreicht der Streitwert den nach Art. 74 Abs. 1 lit. a BGG in mietrechtlichen Fällen geltenden Mindestbetrag von Fr. 15'000.--.</w:t>
      </w:r>
    </w:p>
    <w:p>
      <w:r>
        <w:rPr>
          <w:b/>
        </w:rPr>
        <w:t>E. 1.2</w:t>
      </w:r>
    </w:p>
    <w:p>
      <w:r>
        <w:t>Die Beschwerde in Zivilsachen ist ein reformatorisches Rechtsmittel ( Art. 107 Abs. 2 BGG ). Grundsätzlich muss die rechtsuchende Partei einen Antrag in der Sache stellen. Ein blosser Rückweisungsantrag reicht ausnahmsweise aus, wenn das Bundesgericht im Falle der Gutheissung nicht selbst in der Sache entscheiden könnte (vgl. BGE 137 II 313 E. 1.3; 134 III 379 E. 1.3 S. 383). Dieser Fall ist hier gegeben, da sich die Beurteilung des Obergerichts auf die Frage beschränkt, ob der Mietzins rechtzeitig angefochten wurde, ohne dass ihr Feststellungen zu dessen Missbräuchlichkeit entnommen werden könnten.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2.4</w:t>
      </w:r>
    </w:p>
    <w:p>
      <w:r>
        <w:t>Die in der Beschwerde erhobenen Sachverhaltsrügen genügen diesen Anforderungen nicht. Die Beschwerdeführerin behauptet einleitend, das Obergericht habe den "Sachverhalt unter mehreren Aspekten falsch" gewürdigt. In der Folge stellt sie den streitgegenständlichen Sachverhalt aus eigener Sicht dar und weicht dabei von den tatsächlichen Feststellungen im angefochtenen Urteil ab, ohne aufzuzeigen, inwiefern diese offensichtlich unrichtig sein oder auf einer Rechtsverletzung im Sinne von Art. 95 BGG beruhen sollen. Es ist daher vollumfänglich vom Sachverhalt auszugehen, wie ihn die Vorinstanz festgestellt hat, und die Beschwerdeführerin kann von vornherein insoweit nicht gehört werden, als sie ihre Argumentation auf ein Tatsachenfundament stützt, das in den Feststellungen im angefochtenen Urteil keine Grundlage findet.</w:t>
      </w:r>
    </w:p>
    <w:p>
      <w:r>
        <w:rPr>
          <w:b/>
        </w:rPr>
        <w:t>E. 2.5</w:t>
      </w:r>
    </w:p>
    <w:p>
      <w:r>
        <w:t>Fehl geht auch die Rüge, die Vorinstanz habe Art. 8 ZGB sowie Art. 152 und Art. 153 ZPO verletzt, weil "die beantragten relevanten zusätzlichen Beweisabnahmen" - konkret: zwei Parteibefragungen - nicht erfolgt seien. Die Beschwerdeführerin zeigt schon nicht auf, dass sie diese Beweismittel bereits bei der ersten Instanz prozesskonform eingebracht hat (Erwägung 2.2), sondern sie bezieht sich in ihrer Beschwerde an das Bundesgericht nur auf eine Passage ihrer Berufungsschrift, in der sie entsprechende Beweisanträge gestellt haben will. Dass die dort vorgebrachten Beweise von der Vorinstanz noch hätten berücksichtigt und abgenommen werden dürfen (siehe Art. 317 Abs. 1 ZPO ), tut sie nicht dar und ist auch nicht ersichtlich. Abgesehen davon führt sie weder konkret aus, welche Erkenntnisse von der Abnahme dieser Beweise zu erwarten gewesen wären, noch, dass die Behebung der in diesem Zusammenhang behaupteten Sachverhaltsmängel für den Ausgang des Verfahrens entscheidend ist.</w:t>
      </w:r>
    </w:p>
    <w:p>
      <w:r>
        <w:rPr>
          <w:b/>
        </w:rPr>
        <w:t>E. 3.1</w:t>
      </w:r>
    </w:p>
    <w:p>
      <w:r>
        <w:t>Nach Art. 270 Abs. 1 OR kann der Mieter den Anfangsmietzins innert 30 Tagen nach Übernahme der Sache bei der Schlichtungsbehörde unter gewissen Voraussetzungen als missbräuchlich anfechten.</w:t>
      </w:r>
    </w:p>
    <w:p>
      <w:r>
        <w:rPr>
          <w:b/>
        </w:rPr>
        <w:t>E. 3.2</w:t>
      </w:r>
    </w:p>
    <w:p>
      <w:r>
        <w:t>Die Vorinstanz hielt fest, dass die Parteien (beziehungsweise die Beschwerdeführerin und die Rechtsvorgängerin der Beschwerdegegnerin) verschiedene Mietverträge über die Liegenschaft abgeschlossen hätten, erstmals am 20. Oktober und 6. November 1989, letztmals am 26. und 27. Oktober 2015. Die Beschwerdeführerin habe das Mietobjekt seit 1. November 1989 und den dazugehörigen Neubau seit Juli 2003 ununterbrochen genutzt, die Verfügungsgewalt darüber gehabt und die Schlüssel für die Liegenschaft besessen. Sie habe das Mietobjekt namentlich auch vor der letzten, im vorliegenden Verfahren streitigen Vertragsperiode (1. Januar 2016 bis 31. Dezember 2018) nicht verlassen. Eine Übergabe beziehungsweise Übernahme der Mietsache, die sich in gebrauchstauglichem Zustand befunden habe, sei daher nicht notwendig gewesen. In einer solchen Konstellation beginne die Frist zur Anfechtung des neu vereinbarten Mietzinses gemäss Art. 270 Abs. 1 OR mit dem Abschluss des neuen Mietvertrags (Ende Oktober 2015) und sei somit Ende November 2015 abgelaufen. Die Beschwerdeführerin habe das Schlichtungsgesuch erst am 27. Januar 2016 und damit nicht rechtzeitig eingereicht.</w:t>
      </w:r>
    </w:p>
    <w:p>
      <w:r>
        <w:rPr>
          <w:b/>
        </w:rPr>
        <w:t>E. 3.3</w:t>
      </w:r>
    </w:p>
    <w:p>
      <w:r>
        <w:t>Dagegen wendet sich die Beschwerdeführerin. Sie stellt sich im Wesentlichen auf den Standpunkt, die Parteien hätten per 6. Januar 2016 eine "Abnahme" terminiert, zu der die Beschwerdegegnerin indes "geradezu rechtsmissbräuchlich" nicht erschienen sei. Am 19. Januar 2016 habe die Beschwerdegegnerin dann brieflich eine "bauliche Bestandesaufnahme" in Aussicht gestellt. Die Anfechtungsfrist nach Art. 270 Abs. 1 OR habe frühestens an diesem Tag zu laufen begonnen. Zu Recht wirft die Beschwerdegegnerin die Frage auf, ob die Ausführungen in der Beschwerde den Begründungsanforderungen im bundesgerichtlichen Verfahren genügen. Die Beschwerdeführerin beschränkt sich über weite Strecken darauf, dem Bundesgericht ihr eigenes Verständnis der Mietverträge und der Vorgänge um deren Abschluss zu unterbreiten. Soweit den diesbezüglichen Darlegungen überhaupt Kritik an der vorinstanzlichen Rechtsanwendung entnommen werden kann, ist eine Rechtsverletzung nicht dargetan: Die Beschwerdeführerin war im Zeitpunkt der Unterzeichnung des neuen Mietvertrags im - bereits seit dem 1. November 1989 ununterbrochen andauernden - Besitz der (gebrauchstauglichen) Mietsache. Der neu abgeschlossene Mietvertrag ermöglichte der Beschwerdeführerin den Verbleib im Mietobjekt bis am 31. Dezember 2018 und damit über den Zeitpunkt der Beendigung des zuvor bestehenden Mietvertrags hinaus. Inwiefern die Vorinstanz unter diesen Umständen gegen Art. 270 Abs. 1 OR verstiess, wenn sie davon ausging, dass die Frist für die Anfechtung des neu vereinbarten Mietzinses mit der Unterzeichnung des Mietvertrags am 26. und 27. Oktober 2015 begonnen hat, vermag die Beschwerdeführerin nicht aufzuzeigen (siehe auch Urteil 4A_455/2017 vom 27. November 2017 E. 4). Sie belässt es im Wesentlichen bei ihren Vorbringen, das Obergericht habe unbeachtet gelassen, dass das bisherige (bis am 31. Dezember 2015 dauernde) Mietverhältnis ein solches befristeter Natur gewesen sei und sich der neue Mietvertrag vom 26. und 27. Oktober 2015 wesentlich vom vorbestehenden Vertrag unterscheide. Es ist indes nicht erkennbar, inwiefern diese Behauptungen - soweit sie denn zutreffen - etwas am vorinstanzlichen Schluss ändern sollten. Das Gleiche gilt für ihren wiederholten Hinweis auf den "Sanierungsbedarf" der Liegenschaft sowie die "Abnahme" vom 6. Januar 2016, bezüglich der die Vorinstanz feststellte, es sei nicht erstellt, dass sie tatsächlich stattgefunden habe. Zudem sei es dabei - so das Obergericht weiter - "wenn überhaupt" nur um die "Abnahme von Baumängeln" beziehungsweise um eine "bauliche Bestandsaufnahme" gegangen. Die Vorinstanz verwies in diesem Zusammenhang auch auf den Regelungsgedanken von Art. 270 Abs. 1 OR , wonach deshalb auf den Zeitpunkt der "Übernahme" abgestellt werde, weil sich der Mieter erst nach Übergabe der Sache eine genaue Vorstellung von der Qualität der Mietsache bilden könne. Nachdem aber die Beschwerdeführerin schon im Zeitpunkt der Unterzeichnung des neuen Mietvertrags die Liegenschaft genutzt habe, sei es ihr bereits zu diesem Zeitpunkt möglich gewesen, sich einen Überblick über das Mietobjekt zu verschaffen und einen Entschluss über eine allfällige Anfechtung des Mietzinses zu fällen. Weshalb sich diese Argumentation nicht mit Art. 270 Abs. 1 OR vertragen soll, lässt sich der Beschwerde nicht entnehmen.</w:t>
      </w:r>
    </w:p>
    <w:p>
      <w:r>
        <w:rPr>
          <w:b/>
        </w:rPr>
        <w:t>E. 3.4</w:t>
      </w:r>
    </w:p>
    <w:p>
      <w:r>
        <w:t>Damit hält das angefochtene Urteil, in welchem im Ergebnis dem Herabsetzungsbegehren zufolge verpasster Anfechtungsfrist nicht stattgegeben wird, der bundesgerichtlichen Überprüfung stand.</w:t>
      </w:r>
    </w:p>
    <w:p>
      <w:r>
        <w:rPr>
          <w:b/>
        </w:rPr>
        <w:t>E. 4</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