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4A_503/2018 vom 9. April 2019</w:t>
      </w:r>
    </w:p>
    <w:p>
      <w:r>
        <w:t>Bundesgericht, 2019-04-09, DE</w:t>
      </w:r>
    </w:p>
    <w:p>
      <w:r>
        <w:rPr>
          <w:b/>
        </w:rPr>
        <w:t xml:space="preserve">Quelle: </w:t>
      </w:r>
      <w:r>
        <w:t>https://mcp.opencaselaw.ch/entscheid/bger_4A_503_2018</w:t>
      </w:r>
    </w:p>
    <w:p>
      <w:r>
        <w:t>FR: TF 4A_503/2018 du 9 avril 2019</w:t>
      </w:r>
    </w:p>
    <w:p>
      <w:r>
        <w:t>IT: TF 4A_503/2018 del 9 aprile 2019</w:t>
      </w:r>
    </w:p>
    <w:p>
      <w:pPr>
        <w:pStyle w:val="Heading2"/>
      </w:pPr>
      <w:r>
        <w:t>Erwägungen</w:t>
      </w:r>
    </w:p>
    <w:p>
      <w:r>
        <w:rPr>
          <w:b/>
        </w:rPr>
        <w:t>E. 1</w:t>
      </w:r>
    </w:p>
    <w:p>
      <w:r>
        <w:t>Das Bundesgericht prüft von Amtes wegen und mit freier Kognition, ob ein Rechtsmittel zulässig ist ( Art. 29 Abs. 1 BGG ; BGE 141 III 395 E. 2.1).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teilweise unterlegen und hat den Markenschutz für ihr Zeichen nicht im gewünschten Umfang erhalten, womit sie zur Beschwerde berechtigt ist ( Art. 76 Abs. 1 lit. a und b BGG ). Der angefochtene Entscheid schliesst das Verfahren betreffend das Markeneintragungsgesuch CH Nr. 51046/2014 ab und stellt demnach einen Endentscheid dar ( Art. 90 BGG ). Die Beschwerdefrist von 30 Tagen ( Art. 100 Abs. 1 BGG ) wurde eingehalten. Der für die Beschwerde in Zivilsachen erforderliche Streitwert ist erreicht ( Art. 74 Abs. 1 lit. b BGG ; BGE 133 III 490 E. 3).</w:t>
      </w:r>
    </w:p>
    <w:p>
      <w:r>
        <w:t>Auf die Beschwerde ist demnach unter Vorbehalt einer hinreichenden Begründung ( Art. 42 Abs. 2 und Art. 106 Abs. 2 BGG ) einzutreten.</w:t>
      </w:r>
    </w:p>
    <w:p>
      <w:r>
        <w:rPr>
          <w:b/>
        </w:rPr>
        <w:t>E. 2</w:t>
      </w:r>
    </w:p>
    <w:p>
      <w:r>
        <w:t>Die Beschwerdeführerin rügt, die Vorinstanz habe Art. 2 lit. a MSchG (SR 232.11) verletzt, indem sie ihrer Beurteilung ein unzutreffendes Zeichenverständnis zugrunde gelegt habe.</w:t>
      </w:r>
    </w:p>
    <w:p>
      <w:r>
        <w:rPr>
          <w:b/>
        </w:rPr>
        <w:t>E. 2.1</w:t>
      </w:r>
    </w:p>
    <w:p>
      <w:r>
        <w:t>Die Beschwerdeführerin bringt vor, die Vorinstanz halte im angefochtenen Entscheid fest, dass im Rahmen der Prüfung der originären Unterscheidungskraft eine rein abstrakte Betrachtung des hinterlegten Zeichens erfolgen müsse und eine allfällige Bekanntheit der Marke unbeachtlich sei. Die Vorinstanz schliesse sich in ihrem Urteil entsprechend der Auffassung des IGE an, wonach im Rahmen des Eintragungsverfahrens ein behaupteter Bedeutungswandel nicht berücksichtigt werden könne. Diese Beurteilung sei unter den gegebenen besonderen Umständen aus verschiedenen Gründen rechtsfehlerhaft: Zwar sei unbestritten, dass die markenrechtliche Berühmtheit oder Bekanntheit im Eintragungsverfahren</w:t>
      </w:r>
    </w:p>
    <w:p>
      <w:r>
        <w:t>in der Regel keine direkte Berücksichtigung finden könne. Wenn jedoch ein Begriff im täglichen Sprachgebrauch nicht mehr als lexikalische Sachbezeichnung verstanden werde, sondern - wie dies vorliegend aufgrund der besonderen Umstände der Fall sei - primär als Hinweis auf eine bestimmte Unternehmung, dann müsse dieses tatsächliche Verständnis auch im Eintragungsverfahren beachtet werden. Dies unabhängig davon, aus welchen Gründen sich das besagte Verständnis entwickelt habe, und insbesondere auch dann, wenn dieser Bedeutungswandel mit der markenrechtlichen Bekanntheit bis zu einem gewissen Grad korreliere. Anders zu entscheiden hiesse, die Bedeutung des Verkehrsverständnisses, welches gerade bei der Beurteilung von fremdsprachigen Begriffen im Allgemeinen und deren Sinngehalt im Speziellen die entscheidende Rolle spiele, schlicht zu negieren.</w:t>
      </w:r>
    </w:p>
    <w:p>
      <w:r>
        <w:t>Die Tatsache, dass es sich beim Zeichen APPLE um einen fremdsprachigen Begriff handle, welchem in keiner der Landessprachen eine lexikalische Bedeutung zukomme, sei für die Beurteilung des konkreten Falls zentral. Die vorliegend entscheidende Frage sei nämlich, ob bei den relevanten Verkehrskreisen in jedem Fall ein automatischer, mechanischer Übersetzungsvorgang stattfinde, oder ob der englischsprachige Begriff APPLE in seiner konkreten Erscheinung im allgemeinen Sprachgebrauch im Zusammenhang mit den beanspruchten Waren nicht einfach (ohne weiteren Denkvorgang) als Hinweis auf eine Unternehmung (nämlich die Beschwerdeführerin) gelesen und verstanden werde. Im vorinstanzlichen Verfahren sei schlüssig aufgezeigt worden, dass APPLE in allen Landessprachen als unmittelbarer Hinweis auf die Beschwerdeführerin verstanden werde und ein Übersetzungsvorgang von APPLE zu "Apfel" unabhängig von der gewählten Landessprache unterbleibe. Anders zu entscheiden hiesse, es für wahrscheinlicher zu halten, dass etwa Adressaten von elektronischen Spielen APPLE als Hinweis auf die spielerische Veranschaulichung des Apfelanbaus auffassten denn als Hinweis auf die Beschwerdeführerin. Die Vorinstanz habe den erfolgten Bedeutungswechsel in Verletzung des Markenrechts unbeachtet gelassen. Wenn die Markenprüfung nicht vom Sinngehalt "Apfel", sondern vom tatsächlichen Sinngehalt "Hinweis auf die Beschwerdeführerin" ausgehe, sei die Unterscheidungskraft von APPLE für die noch strittigen Waren ohne Weiteres zu bejahen. Eine andere Bedeutung stünde selbstredend im Vordergrund, wenn die relevanten Verkehrskreise mit den Begriffen "Apfel", "pomme" oder "mela" konfrontiert würden; diese dürften bei den relevanten Verkehrskreisen eher als Hinweis auf die entsprechende Frucht verstanden werden.</w:t>
      </w:r>
    </w:p>
    <w:p>
      <w:r>
        <w:t>Die Vorinstanz habe somit Art. 2 lit. a MSchG verletzt, indem sie das tatsächliche Verständnis und den effektiven Sprachgebrauch des Zeichens APPLE bei der Beurteilung der Eintragungsfähigkeit ausser Acht gelassen und die strittigen Waren im Ergebnis vom Markenschutz ausgeschlossen habe.</w:t>
      </w:r>
    </w:p>
    <w:p>
      <w:r>
        <w:rPr>
          <w:b/>
        </w:rPr>
        <w:t>E. 2.2</w:t>
      </w:r>
    </w:p>
    <w:p>
      <w:r>
        <w:t>Der Beschwerdegegner weist das Argument zurück, das Zeichen APPLE dürfe in Zusammenhang mit den strittigen Waren nicht in der Bedeutung "Apfel" geprüft werden. Ob APPLE in Zusammenhang mit anderen Waren (für die das Zeichen originär unterscheidungskräftig sei) eine berühmte Marke darstelle, sei im vorliegenden Verfahren (wo Waren in Frage stünden, für die das Zeichen beschreibend sei) unerheblich. Ein absoluter, von der Frage der Schutzfähigkeit unabhängiger Anspruch auf Eintragung einer berühmten Marke bestehe nicht. Auf die Bekanntheit des Zeichens APPLE als Unternehmensname könne sich die Beschwerdeführerin im vorliegenden markenrechtlichen Kontext erst recht nicht berufen. Jedenfalls sei entgegen der Darstellung der Beschwerdeführerin das Spezialitätsprinzip schon bei der Ermittlung des Sinngehalts eines Zeichens zu berücksichtigen; dieser sei nicht abstrakt, sondern in Zusammenhang mit den konkret betroffenen Waren/Dienstleistungen zu prüfen.</w:t>
      </w:r>
    </w:p>
    <w:p>
      <w:r>
        <w:rPr>
          <w:b/>
        </w:rPr>
        <w:t>E. 2.3.1</w:t>
      </w:r>
    </w:p>
    <w:p>
      <w:r>
        <w:t>Nach Art. 2 lit. a MSchG sind Zeichen vom Markenschutz ausgeschlossen, die Gemeingut sind,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wobei sich Überschneidungen ergeben können ( BGE 143 III 127 E. 3.3.2 S. 132; 139 III 176 E. 2 S. 178; 131 III 121 E. 4.1 S. 126; je mit Hinweisen). Freihaltebedürftig sind Zeichen, auf deren Verwendung der Wirtschaftsverkehr angewiesen ist. Die Unterscheidungskraft geht Zeichen ab, die aufgrund ihres Erscheinungsbildes oder ihres sachlichen resp. beschreibenden Gehalts die markenspezifische Unterscheidungsfunktion nicht erfüllen können ( BGE 143 III 127 E. 3.3.2 S. 132; 139 III 176 E. 2 S. 178 mit Hinweis). Nicht schutzfähig sind nach der bundesgerichtlichen Rechtsprechung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Der beschreibende Charakter solcher Hinweise muss vom angesprochenen Publikum ohne besondere Denkarbeit und ohne Fantasieaufwand unmittelbar erkennbar sein. Dabei genügt, dass dies in einem Sprachgebiet der Schweiz zutrifft ( BGE 135 III 359 E. 2.5.5; 131 III 495 E. 5 S. 503; 129 III 225 E. 5.1 S. 228; 128 III 447 E. 1.5 S. 451). Englischsprachige Ausdrücke können berücksichtigt werden, sofern sie von einem nicht unbedeutenden Teil der massgebenden Verkehrskreise verstanden werden ( BGE 129 III 225 E. 5.1 S. 228; Urteile 4A_38/2014 vom 27. Juni 2014 E. 3.2, nicht publ. in BGE 140 III 297 ff.; 4A_528/2013 vom 21. März 2014 E. 5.1, nicht publ. in: BGE 140 III 109 ff.).</w:t>
      </w:r>
    </w:p>
    <w:p>
      <w:r>
        <w:t>Ob ein Zeichen als Marke in Frage kommt, beurteilt sich nach dem Gesamteindruck, den es bei den massgebenden Adressaten in der Erinnerung hinterlässt ( BGE 143 III 127 E. 3.3.2 S. 132; 134 III 547 E. 2.3.1 S. 551; 133 III 342 E. 4 S. 346). Ob die massgebenden Adressaten ein Zeichen für die beanspruchten Produkte als Hinweis auf ein Unternehmen wahrnehmen, ist dabei vor dem Hintergrund der gesamten Umstände zu beurteilen ( BGE 143 III 127 E. 3.3.2 S. 132; 137 III 403 E. 3.3.2 S. 409; 134 III 547 E. 2.3 S. 551). Als originär unterscheidungskräftig ist ein Zeichen schützbar, wenn es aufgrund einer minimalen ursprünglichen Unterscheidungskraft geeignet ist, die mit ihr gekennzeichneten Waren und Dienstleistungen zu individualisieren, und es dem Verbraucher dadurch ermöglicht, diese im allgemeinen Angebot gleichartiger Waren und Dienstleistungen wiederzuerkennen ( BGE 143 III 127 E. 3.3.2; 140 III 109 E. 5.3.2 S. 112; 137 III 403 E. 3.3.2; je mit Hinweisen). Bei der Prüfung, ob diese Schutzvoraussetzung erfüllt ist, ist das Zeichen so zu betrachten, wie es vom Hinterleger angemeldet worden ist. Die Auswirkungen des bereits erfolgten oder künftigen Zeichengebrauchs auf die Wahrnehmung durch die massgeblichen Verkehrskreise müssen ausser Betracht bleiben. Das Zeichen muss aus sich selbst heraus und unabhängig von seinem Gebrauch geeignet sein, die Waren und Dienstleistungen des Markeninhabers von denjenigen anderer Anbieter zu unterscheiden ( BGE 143 III 127 E. 3.3.2 S. 133; 140 III 109 E. 5.3.2 S. 112 mit Hinweisen).</w:t>
      </w:r>
    </w:p>
    <w:p>
      <w:r>
        <w:t>Das Bundesgericht prüft grundsätzlich als Rechtsfrage frei, wie der massgebende Adressatenkreis für die beanspruchten Waren oder Dienstleistungen abzugrenzen ist und - bei Gütern des allgemeinen Bedarfs - wie die Adressaten aufgrund der erwarteten Aufmerksamkeit das Zeichen wahrnehmen ( BGE 143 III 127 E. 3.3.2 S. 133; 139 III 176 E. 2 S. 179; 137 III 403 E. 3.3.2 S. 409).</w:t>
      </w:r>
    </w:p>
    <w:p>
      <w:r>
        <w:rPr>
          <w:b/>
        </w:rPr>
        <w:t>E. 2.3.2</w:t>
      </w:r>
    </w:p>
    <w:p>
      <w:r>
        <w:t>Die Vorinstanz hat grundsätzlich zutreffend ausgeführt, dass bei der Prüfung der originären Unterscheidungskraft das Zeichen so zu betrachten ist, wie es vom Hinterleger angemeldet worden ist, und die Auswirkungen des bereits erfolgten oder künftigen Zeichengebrauchs auf die Wahrnehmung durch die massgeblichen Verkehrskreise ausser Betracht bleiben müssen. Die Beschwerdeführerin beruft sich jedoch nicht darauf, das Zeichen für die beanspruchten Produkte bereits benutzt zu haben, macht also keine Verkehrsdurchsetzung des Zeichens aufgrund eines erfolgten Zeichengebrauchs für die betreffenden Waren geltend. Ebenso wenig macht sie geltend, die markenrechtliche Bekanntheit oder Berühmtheit (vgl. Art. 15 MSchG ) müsse im Eintragungsverfahren unmittelbar berücksichtigt werden. Vielmehr beruft sie sich auf eine Wandlung des Sinngehalts von APPLE im allgemeinen Sprachgebrauch in der Schweiz, die auch bei abstrakter Betrachtung des vorgelegten Zeichens, also unabhängig von Begleitumständen jeglicher Art (vgl. EUGEN MARBACH, Markenrecht, in: Kennzeichenrecht, SIWR Bd. III/1, 2. Aufl. 2009, Rz. 204 ff.), zu berücksichtigen sei.</w:t>
      </w:r>
    </w:p>
    <w:p>
      <w:r>
        <w:t>Ob ein Wort für die beanspruchten Waren und Dienstleistungen beschreibend ist und zum Gemeingut gehört, beurteilt sich danach, ob das Zeichen einen erkennbaren Wortsinn ergibt. Hat ein Wort abstrakt betrachtet mehrere Bedeutungen, so ist für die Beurteilung der Unterscheidungskraft des Zeichens von derjenigen Bedeutung auszugehen, die aus Sicht der massgebenden Verkehrskreise im Zusammenhang mit den beanspruchten Produkten im Vordergrund steht ( BGE 135 III 416 E. 2.3 S. 419; 117 II 327 E. 1b; vgl. auch MATTHIAS STÄDELI/ SIMONE BRAUCHBAR BIRKHÄUSER, in: Basler Kommentar, 3. Aufl. 2017, N. 123 zu Art. 2 MSchG ; DAVID ASCHMANN, in: Michael Noth und andere [Hrsg.], Kommentar zum Markenschutzgesetz [MSchG], 2. Aufl. 2017, N. 154 zu Art. 2 lit. a MSchG ; MARBACH, a.a.O., Rz. 306). Insofern trifft zu und ist hier unbestritten, dass das Spezialitätsprinzip bereits bei der Ermittlung des Sinngehalts zu berücksichtigen ist, indem dieser mit Bezug auf die konkret betroffenen Produkte zu prüfen ist (vgl. etwa BGE 128 III 447 E. 1.6; Urteil 4A_492/2007 vom 14. Februar 2008 E. 3.4).</w:t>
      </w:r>
    </w:p>
    <w:p>
      <w:r>
        <w:t>Der Sinngehalt von Wörtern ist dem Sprachwandel unterworfen (vgl. zur Berücksichtigung der Verschiebung eines Sinngehalts etwa BGE 80 II 171 E. 2 S. 175; Urteil 4A_492/2007, a.a.O., E. 3.4). Mit der Beschwerdeführerin ist davon auszugehen, dass bei der Beurteilung der originären Unterscheidungskraft im Eintragungsverfahren vom</w:t>
      </w:r>
    </w:p>
    <w:p>
      <w:r>
        <w:t>aktuellen tatsächlichen Verständnis der massgebenden Verkehrskreise auszugehen ist. Dieses wird in den allermeisten Fällen mit der lexikalischen Bedeutung übereinstimmen. Wird ein Wort jedoch von den massgebenden Verkehrskreisen im aktuellen Sprachgebrauch nicht mehr im lexikalischen Sinn verstanden, sondern primär als Hinweis auf ein bestimmtes Unternehmen, so kann dies im Eintragungsverfahren nicht unbeachtet bleiben. Entgegen der Ansicht der Vorinstanz sowie des Beschwerdegegners kann nicht ausgeschlossen werden, dass ein Wort des allgemeinen Sprachschatzes in ausserordentlichen Ausnahmefällen derart mit einer Unternehmung in Verbindung gebracht wird, dass diese den Sinngehalt des Wortes (mit) bestimmt.</w:t>
      </w:r>
    </w:p>
    <w:p>
      <w:r>
        <w:rPr>
          <w:b/>
        </w:rPr>
        <w:t>E. 2.3.3</w:t>
      </w:r>
    </w:p>
    <w:p>
      <w:r>
        <w:t>Hinsichtlich der massgebenden Verkehrskreise ist im Zusammenhang mit den konkret beanspruchten Waren unbestrittenermassen auf das breite Publikum abzustellen. Mit der Beschwerdeführerin ist davon auszugehen, dass APPLE aufgrund des notorisch überragenden Bekanntheitsgrads als eine der bekanntesten Marken der Welt überhaupt und allgemein bekannte Firmenbezeichnung vom Durchschnittskonsumenten nicht in erster Linie im Sinne der Frucht "Apfel", sondern unmittelbar als Hinweis auf ein bestimmtes Unternehmen verstanden wird. Zwar dürfte ein erheblicher Teil des Schweizer Publikums wissen, dass der englischsprachige Begriff APPLE ins Deutsche, Französische bzw. Italienische übersetzt "Apfel", "pomme" bzw. "mela" bedeutet. Angesichts des Bedeutungswandels infolge der überragenden Bekanntheit von APPLE wird jedoch der deutsch-, französisch- und italienischsprachige Durchschnittskonsument bei anderen Waren als Obst ohne Fantasieaufwand nicht an ein Merkmal der gekennzeichneten Waren denken, sondern im fremdsprachigen Wort APPLE vielmehr unmittelbar einen Hinweis auf das betreffende Unternehmen erkennen. Entgegen den Erwägungen im angefochtenen Entscheid wird APPLE daher vom Durchschnittsabnehmer sowohl im Zusammenhang mit</w:t>
      </w:r>
    </w:p>
    <w:p>
      <w:r>
        <w:t>elektronischen Spielen, handbetätigten und elektronischen Computerspielen, Videospielen, interaktiven Spielen und interaktivem Computerspielzeug als auch im Zusammenhang mit den übrigen beanspruchten Waren der Klasse 28 (</w:t>
      </w:r>
    </w:p>
    <w:p>
      <w:r>
        <w:t>Spielzeug, Spiele und Spielwaren, Musikspielzeug und -spielwaren, Spielzeugtongeräte, Spielzeugspieldosen, batteriebetriebenes Spielzeug und Spielkarten ) sowie der Klasse 14 (</w:t>
      </w:r>
    </w:p>
    <w:p>
      <w:r>
        <w:t>Schmuckwaren, Halsketten und Armbänder, Schmuckklammern, Waren aus Edelmetallen oder damit plattiert ) direkt als betrieblicher Herkunftshinweis verstanden, ohne dass auf einen durch Übersetzung ermittelten Sinngehalt zurückgegriffen, geschweige denn ein Bezug zum Inhalt oder zur Ausstattung dieser Waren hergestellt würde. Das angemeldete Wortzeichen APPLE ist demnach für sämtliche der beanspruchten Waren geeignet, die beanspruchten Produkte der Markeninhaberin von denjenigen anderer Anbieter zu unterscheiden.</w:t>
      </w:r>
    </w:p>
    <w:p>
      <w:r>
        <w:t>Wird APPLE für die beanspruchten Waren nicht in seiner Bedeutung von "Apfel" und damit auch nicht als Hinweis auf deren Gestalt, Form oder Inhalt verstanden, sondern unmittelbar als Hinweis auf die Beschwerdeführerin, sind auch die Erwägungen im angefochtenen Entscheid zum (relativen) Freihaltebedürfnis nicht haltbar, denen die Vorinstanz ebenfalls ein unzutreffendes Zeichenverständnis zugrunde legte. Ein absolutes Freihaltebedürfnis am Wortzeichen APPLE steht im Übrigen unstreitig nicht zur Diskussion.</w:t>
      </w:r>
    </w:p>
    <w:p>
      <w:r>
        <w:t>Die Vorinstanz hat Art. 2 lit. a MSchG verletzt, indem sie APPLE gestützt auf ein unzutreffendes Zeichenverständnis für einige der beanspruchten Waren vom Markenschutz ausgeschlossen hat.</w:t>
      </w:r>
    </w:p>
    <w:p>
      <w:r>
        <w:rPr>
          <w:b/>
        </w:rPr>
        <w:t>E. 3</w:t>
      </w:r>
    </w:p>
    <w:p>
      <w:r>
        <w:t>Die Beschwerde ist gutzuheissen, Dispositiv-Ziffern 2, 3 und 4 des angefochtenen Entscheids der Vorinstanz sind aufzuheben und das IGE ist anzuweisen, das hinterlegte Zeichen APPLE für sämtliche beanspruchten Waren in den Klassen 14 und 28 ins schweizerische Markenregister einzutragen.</w:t>
      </w:r>
    </w:p>
    <w:p>
      <w:r>
        <w:t>Bei diesem Ausgang des Verfahrens wird der Beschwerdegegner entschädigungspflichtig ( Art. 68 Abs. 2 BGG ). Gerichtskosten werden keine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