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503/2015 vom 16. November 2015</w:t>
      </w:r>
    </w:p>
    <w:p>
      <w:r>
        <w:t>Bundesgericht, 2015-11-16, DE</w:t>
      </w:r>
    </w:p>
    <w:p>
      <w:r>
        <w:rPr>
          <w:b/>
        </w:rPr>
        <w:t xml:space="preserve">Quelle: </w:t>
      </w:r>
      <w:r>
        <w:t>https://mcp.opencaselaw.ch/entscheid/bger_4A_503_2015</w:t>
      </w:r>
    </w:p>
    <w:p>
      <w:r>
        <w:t>FR: TF 4A 503/2015 du 16 novembre 2015</w:t>
      </w:r>
    </w:p>
    <w:p>
      <w:r>
        <w:t>IT: TF 4A 503/2015 del 16 novembre 2015</w:t>
      </w:r>
    </w:p>
    <w:p>
      <w:pPr>
        <w:pStyle w:val="Heading2"/>
      </w:pPr>
      <w:r>
        <w:t>Regeste</w:t>
      </w:r>
    </w:p>
    <w:p>
      <w:r>
        <w:t>unentgeltliche Rechtspflege | Obligationenrecht (allgemein)</w:t>
      </w:r>
    </w:p>
    <w:p>
      <w:pPr>
        <w:pStyle w:val="Heading2"/>
      </w:pPr>
      <w:r>
        <w:t>Volltext</w:t>
      </w:r>
    </w:p>
    <w:p>
      <w:r>
        <w:t>Bundesgericht I. zivilrechtliche Abteilung 16.11.2015 4A 503/2015 (4A_503/2015) Tribunal fédéral Ire Cour de droit civil 16.11.2015 4A 503/2015 (4A_503/2015) Tribunale federale I Corte di diritto civile 16.11.2015 4A 503/2015 (4A_503/2015)</w:t>
      </w:r>
    </w:p>
    <w:p>
      <w:r>
        <w:t>unentgeltliche Rechtspflege | Obligationenrecht (allgemein)</w:t>
      </w:r>
    </w:p>
    <w:p>
      <w:r>
        <w:t>Bundesgericht Tribunal fédéral Tribunale federale Tribunal federal {T 0/2} 4A_503/2015 Urteil vom 16. November 2015 I. zivilrechtliche Abteilung Besetzung Bundesrichterin Kiss, Präsidentin, Gerichtsschreiber Brugger. Verfahrensbeteiligte A.________, Beschwerdeführer, gegen B.________ AG, vertreten durch Rechtsanwältinnen Prof. Dr. Isabelle Romy und/oder Sanna Maas Thurnherr, Beschwerdegegnerin. Gegenstand Unentgeltliche Rechtspflege, Beschwerde gegen den Beschluss des Obergerichts des Kantons Zürich, I. Zivilkammer, vom 21. August 2015. In Erwägung, dass die Beschwerdegegnerin am 21. Oktober 2013 gegen den Beschwerdeführer beim Bezirksgericht Zürich eine Forderungsklage über Fr. 390'718.85 nebst Zins einreichte; dass der Beschwerdeführer dagegen die Unzuständigkeitseinrede erhob, die das Bezirksgericht mit Beschluss vom 21. Mai 2015 abwies und auf die Klage der Beschwerdegegnerin eintrat; dass der Beschwerdeführer dagegen an das Obergericht des Kantons Zürich gelangte, das ihm mit Verfügung vom 3. Juli 2015 Frist zur Leistung eines Gerichtskostenvorschusses von Fr. 2'000.-- für das Beschwerdeverfahren ansetzte; dass der Beschwerdeführer mit Eingabe vom 27. Juli 2015 ein Gesuch um unentgeltliche Rechtspflege stellte; dass das Obergericht mit Beschluss vom 21. August 2015 das Gesuch des Beschwerdeführers um unentgeltliche Rechtspflege für das Beschwerdeverfahren abwies und ihm eine Frist von 20 Tagen ansetzte, um den Gerichtskostenvorschuss zu leisten; dass der Beschwerdeführer mit Rechtsschrift vom 21. September 2015 gegen den Beschluss des Obergerichts Beschwerde erhob;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Rechtsschrift vom 21. September 2015 diese Begründungsanforderungen offensichtlich nicht erfüllt, indem der Beschwerdeführer darin bloss in frei gehaltenen Ausführungen seine Sicht der Dinge darlegt, ohne indessen auf die Erwägungen der Vorinstanz hinreichend konkret einzugehen und ohne rechtsgenüglich aufzuzeigen, welche Rechte die Vorinstanz mit ihrem Entscheid inwiefern verletzt haben soll; dass damit auf die Beschwerde im Verfahren nach Art. 108 Abs. 1 lit. b BGG nicht einzutreten ist; dass unter den gegebenen Umständen auf die Erhebung von Gerichtskosten zu verzichten ist (Art. 66 Abs. 1 zweiter Satz BGG), womit das sinngemässe Gesuch um Befreiung von diesen Kosten gegenstandslos wird; dass der Beschwerdegegnerin, der aus dem bundesgerichtlichen Verfahren kein Aufwand erwachsen ist, keine Parteientschädigung zuzusprechen ist; erkennt die Präsidentin: 1. Auf die Beschwerde wird nicht eingetreten. 2. Es werden keine Gerichtskosten erhoben. 3. Der Beschwerdegegnerin wird keine Parteientschädigung zugesprochen. 4. Dieses Urteil wird den Parteien und dem Obergericht des Kantons Zürich, I. Zivilkammer, schriftlich mitgeteilt. Lausanne, 16. November 2015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