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502/2016 vom 6. Februar 2017</w:t>
      </w:r>
    </w:p>
    <w:p>
      <w:r>
        <w:t>Bundesgericht, 2017-02-06, DE</w:t>
      </w:r>
    </w:p>
    <w:p>
      <w:r>
        <w:rPr>
          <w:b/>
        </w:rPr>
        <w:t xml:space="preserve">Quelle: </w:t>
      </w:r>
      <w:r>
        <w:t>https://mcp.opencaselaw.ch/entscheid/bger_4A_502_2016</w:t>
      </w:r>
    </w:p>
    <w:p>
      <w:r>
        <w:t>FR: TF 4A 502/2016 du 6 février 2017</w:t>
      </w:r>
    </w:p>
    <w:p>
      <w:r>
        <w:t>IT: TF 4A 502/2016 del 6 febbraio 2017</w:t>
      </w:r>
    </w:p>
    <w:p>
      <w:pPr>
        <w:pStyle w:val="Heading2"/>
      </w:pPr>
      <w:r>
        <w:t>Regeste</w:t>
      </w:r>
    </w:p>
    <w:p>
      <w:r>
        <w:t>Werkvertrag | Vertragsrecht</w:t>
      </w:r>
    </w:p>
    <w:p>
      <w:pPr>
        <w:pStyle w:val="Heading2"/>
      </w:pPr>
      <w:r>
        <w:t>Erwägungen</w:t>
      </w:r>
    </w:p>
    <w:p>
      <w:r>
        <w:rPr>
          <w:b/>
        </w:rPr>
        <w:t>E. 1</w:t>
      </w:r>
    </w:p>
    <w:p>
      <w:r>
        <w:t>Die Beschwerdeführerin gab dem Bundesgericht bekannt und aus dem Handelsregister geht hervor, dass die "B.________ AG" Ende Oktober 2016 umfirmiert wurde und neu als "A.________ AG" eingetragen ist. Das Rubrum wurde entsprechend angepasst.</w:t>
      </w:r>
    </w:p>
    <w:p>
      <w:r>
        <w:rPr>
          <w:b/>
        </w:rPr>
        <w:t>E. 2</w:t>
      </w:r>
    </w:p>
    <w:p>
      <w:r>
        <w:t>Die Beschwerde betrifft eine privatrechtliche Streitigkeit ( Art. 72 BGG ), richtet sich gegen den Endentscheid ( Art. 90 BGG ) eines oberen kantonalen Gerichts, das als Rechtsmittelinstanz entschieden hat ( Art. 75 BGG ) und wird von der mit ihren Begehren unterlegenen Partei erhoben ( Art. 76 Abs. 1 BGG ). Die Streitwertgrenze ist erreicht ( Art. 74 Abs. 1 lit. b BGG ) und die Beschwerdefrist ist eingehalten (Art. 100 Abs. 1 i.V.m. Art. 46 Abs. 1 lit. b BGG ). Auf die Beschwerde ist somit - unter Vorbehalt einer hinreichenden Begründung ( Art. 42 Abs. 2 und Art. 106 Abs. 2 BGG ) - einzutreten.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Neue Tatsachen und Beweismittel dürfen nach Art. 99 Abs. 1 BGG nur so weit vorgebracht werden, als erst der Entscheid der Vorinstanz dazu Anlass gibt. Die Beschwerdeführerin beantragte im kantonalen Verfahren erfolglos die Edition weiterer Unterlagen des Beschwerdegegners und stellt diesen Antrag erneut im bundesgerichtlichen Verfahren. Sie weist indessen nicht nach, inwiefern erst der vorinstanzliche Entscheid Anlass zur Beantragung der neuen Beweismittel gibt. Dies wäre im Übrigen auch nicht ersichtlich, nachdem die Beschwerdeführerin sich schon im vorinstanzlichen Verfahren veranlasst sah, die Edition zu beantragen (vgl. zur Rüge der Verletzung des rechtlichen Gehörs durch die Abweisung der Anträge durch die Vorinstanz unten E. 5.2). Auf den Beweisantrag ist nicht einzutreten.</w:t>
      </w:r>
    </w:p>
    <w:p>
      <w:r>
        <w:rPr>
          <w:b/>
        </w:rPr>
        <w:t>E. 4</w:t>
      </w:r>
    </w:p>
    <w:p>
      <w:r>
        <w:t>Die Beschwerdeführerin rügt, die Vorinstanz habe Art. 1 OR und Art. 8 ZGB verletzt sowie den Sachverhalt offensichtlich falsch festgestellt, indem sie zum Schluss gekommen sei, die Parteien hätten ein Pauschalhonorar vereinbart. Entgegen der Ansicht der Vorinstanz sei das Architektenhonorar aufgrund der honorarberechtigten Baukosten zu ermitteln. Sollte im Vertrag etwas unklar sein, dann ginge dies nach dem Grundsatz in dubio contra stipulatorem zulasten des Beschwerdegegners, da dessen Rechtsvertreter den Vertrag aufgesetzt habe.</w:t>
      </w:r>
    </w:p>
    <w:p>
      <w:r>
        <w:rPr>
          <w:b/>
        </w:rPr>
        <w:t>E. 4.1</w:t>
      </w:r>
    </w:p>
    <w:p>
      <w:r>
        <w:t>Der Inhalt eines Vertrags ist durch Auslegung der Willensäusserungen der Parteien zu bestimmen. Ziel der Vertragsauslegung ist es, in erster Linie den übereinstimmenden wirklichen Parteiwillen festzustellen (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 BGE 138 III 659 E. 4.2.1 S. 666; 137 III 145 E. 3.2.1 S. 148). Dabei ist vom Wortlaut der Erklärungen auszugehen, die jedoch nicht isoliert, sondern aus ihrem konkreten Sinngefüge heraus zu beurteilen sind ( BGE 138 III 659 E. 4.2.1 S. 666; 132 III 626 E. 3.1; 123 III 165 E. 3a S. 168). Massgebend ist der Zeitpunkt des Vertragsschlusses, weshalb bei der Auslegung nach dem Vertrauensprinzip nachträgliches Parteiverhalten nicht von Bedeutung ist ( BGE 132 III 626 E. 3.1; 129 III 675 E. 2.3 S. 680). Das Bundesgericht überprüft diese objektivierte Auslegung von Willenserklärungen als Rechtsfrage frei, wobei es an die Feststellungen der kantonalen Vorinstanz über die äusseren Umstände sowie das Wissen und Wollen der Beteiligten grundsätzlich gebunden ist ( BGE 138 III 659 E. 4.2.1 S. 666 f.; 132 III 626 E. 3.1 S. 632, 24 E. 4 S. 28; je mit Hinweisen).</w:t>
      </w:r>
    </w:p>
    <w:p>
      <w:r>
        <w:rPr>
          <w:b/>
        </w:rPr>
        <w:t>E. 4.2</w:t>
      </w:r>
    </w:p>
    <w:p>
      <w:r>
        <w:t>Die Vorinstanz hat ausgeführt, die Parteien hätten weder ein Honorar nach Aufwand noch ein Honorar in Prozenten der honorarberechtigten Baukosten vereinbart. Vielmehr seien die Parteien von einem Pauschalhonorar ausgegangen; dieses zeichne sich dadurch aus, dass es eben gerade nicht vom Aufwand des Architekten oder von der Höhe der Baukosten abhänge, sondern eine feste Grösse darstelle.</w:t>
      </w:r>
    </w:p>
    <w:p>
      <w:r>
        <w:rPr>
          <w:b/>
        </w:rPr>
        <w:t>E. 4.3</w:t>
      </w:r>
    </w:p>
    <w:p>
      <w:r>
        <w:t>Was die Beschwerdeführerin dagegen vorbringt, muss grösstenteils unberücksichtigt bleiben. Denn sie ergänzt in freier Erörterung der vertraglichen Grundlagen ausführlich die vorinstanzlichen Feststellungen zum Inhalt des zwischen den Parteien geschlossenen Vertrages, ohne aufzuzeigen, dass die Vorinstanz den Sachverhalt in dieser Hinsicht willkürlich unvollständig festgestellt hätte. Es genügt den Begründungsanforderungen (vgl. oben E. 3.1) nicht, nach seitenlangen Ergänzungen pauschal und ohne weitere Ausführungen zu behaupten, die Vorinstanz habe den Sachverhalt offensichtlich falsch festgestellt. Aus den vorinstanzlichen Erwägungen wird nicht klar, ob die Vorinstanz einen übereinstimmenden wirklichen Parteiwillen hinsichtlich der Berechnung des Honorars festgestellt oder ob sie eine Auslegung nach dem Vertrauensprinzip vorgenommen hat. Selbst wenn aber von einer Auslegung der Willenserklärungen ausgegangen wird, welche das Bundesgericht als Rechtsfrage frei prüfen kann, hält der angefochtene Entscheid der Überprüfung stand. Die Parteien vereinbarten in Ziff. 2.2 des Architektenvertrags eine "Pauschale gemäss Kostenvoranschlag"; nach Ziff. 2.3 war ein Honorar von "pauschal Fr. 380'000.00" zuzüglich MwSt. geschuldet. In der Folge erhöhten die Parteien das Honorar, wobei der Beschwerdeführerin etwa für "Mehrkosten jeglicher Art" ein zusätzliches Honorar von insgesamt Fr. 150'000.-- (einschliesslich MwSt.) zustehen sollte. Auf der Grundlage dieser Feststellungen durfte die Vorinstanz die vertraglichen Bestimmungen ohne Verletzung von Bundesrecht so auslegen, dass die Parteien als Vergütung einen pauschalen Betrag vereinbarten. Nachdem die Auslegung des Vertrags nach dem Vertrauensprinzip zu einem Ergebnis führte, besteht auch kein Raum für eine Anwendung des Grundsatzes "in dubio contra stipulatorem" (vgl. Urteile 4A_261/2016 vom 27. Juli 2016 E. 3; 4A_462/2015 vom 12. Januar 2016 E. 6; 4A_274/2015 vom 18. November 2015 E. 4.1.1, je mit Hinweisen). Die Rügen der Beschwerdeführerin erweisen sich damit als unbegründet.</w:t>
      </w:r>
    </w:p>
    <w:p>
      <w:r>
        <w:rPr>
          <w:b/>
        </w:rPr>
        <w:t>E. 5</w:t>
      </w:r>
    </w:p>
    <w:p>
      <w:r>
        <w:t>Die Beschwerdeführerin rügt weiter, die Vorinstanz habe zu Unrecht einen Anspruch auf Honorar für Zusatzleistungen der Beschwerdeführerin verneint, welche diese im Zusammenhang mit direkten Vertragsabschlüssen des Beschwerdegegners mit Dritten erbracht habe.</w:t>
      </w:r>
    </w:p>
    <w:p>
      <w:r>
        <w:rPr>
          <w:b/>
        </w:rPr>
        <w:t>E. 5.1</w:t>
      </w:r>
    </w:p>
    <w:p>
      <w:r>
        <w:t>Die Vorinstanz hat ausgeführt, ein Pauschalpreisunternehmer habe nur dann einen Anspruch auf Mehrvergütung wegen eines Mehraufwands, wenn dieser auf einer Bestellungsänderung beruhe. Die Beschwerdeführerin müsse somit sowohl die Bestellungsänderungen als auch die damit verbundenen Mehrleistungen substanziieren. In der Klageschrift habe die Beschwerdeführerin ausgeführt, der Beschwerdegegner habe - um ihr kein Honorar zahlen zu müssen - offenbar direkt mit Unternehmern Verträge abgeschlossen. Sie habe aber dennoch "alles vorbereiten und die Unterlagen zusammenstellen müssen". Aus diesen gesamten Mehrarbeiten stehe ihr gemäss der SIA-Norm 102 das volle Honorar zu. Als Beweis habe sie die Edition der "gesamten Bauabrechnung" und "sämtlicher Werkverträge betreffend das gesamte Bauvorhaben C._______" sowie die "Aussage von D._______" offeriert. Diese Ausführungen würden den Anforderungen an die Substanziierung nicht genügen. So führe die Beschwerdeführerin mit keinem Wort aus, worin ihre Mehrleistungen bestanden hätten. Der Beschwerdegegner habe in der Klageantwort nicht bestritten, dass er wenige Verträge direkt mit den Handwerkern geschlossen habe; dies sei notwendig gewesen, weil die Beschwerdeführerin nicht erreichbar gewesen sei und Handlungsbedarf - dem aber nicht irgendwelche Zusatzwünsche zugrunde gelegen hätten - bestanden habe. Der Beschwerdegegner habe bestritten, dass der Beschwerdeführerin dadurch ein Aufwand entstanden sei. Obwohl der Beschwerdegegner den Mehraufwand somit ausdrücklich infrage gestellt habe, habe die Beschwerdeführerin auch in der Replik nicht (genügend) konkret ausgeführt, inwiefern ihr durch die direkte Vergabe von Aufträgen an Dritte tatsächlich ein Mehraufwand erwachsen sei. Vielmehr habe sie sich mit den pauschalen Hinweisen begnügt, sie habe "die Arbeiten am Bau (...) koordinieren und kontrollieren müssen", sie habe "die gesamte Verantwortung und das gesamte Risiko getragen" und "die Kosten zu kontrollieren gehabt". Der Beschwerdeführerin helfe auch der Hinweis auf kläg.act. 354 nicht weiter, wonach in diesem Ordner die Mehrkosten - namentlich auch jene, welche mit den direkten Vergaben zusammenhängen würden - im Detail analysiert worden seien. Es sei nicht Aufgabe des Richters, in einem Ordner nach genügend substanziierten Behauptungen zu suchen; vielmehr sei es Sache der Partei, das Klagefundament zu präsentieren. Abgesehen davon sei der Ordner erst mit der Beweiseingabe vom 13. Oktober 2011 und somit zu spät eingereicht worden; es sei diesbezüglich ohne weiteres auf die zutreffenden Erwägungen der Vorinstanz zum Novenrecht zu verweisen. Ebenso wenig würde die blosse Behauptung genügen, die Mehrkosten ergäben sich aus den Werkverträgen und Bauabrechnungen des Beschwerdegegners gemäss bekl.act. 33 und 34. Diese pauschalen Hinweise liessen keine Beweisabnahme zu und seien deshalb von vornherein untauglich. Zusammenfassend würden somit (genügend) substanziierte Angaben darüber fehlen, welche konkreten Zusatzleistungen die Beschwerdeführerin aufgrund der direkten Vertragsabschlüsse erbracht habe. Die Beschwerdeführerin sei über diese angeblichen Mehrleistungen selbst am besten im Bild gewesen; dazu habe sie keine weiteren Unterlagen benötigt, zumal sie die Baustelle aufgrund der ihr obliegenden Bauleitung habe kennen müssen. Für die Substanziierung ihrer Leistungen sei sie deshalb nicht auf Unterlagen des Beschwerdegegners angewiesen gewesen.</w:t>
      </w:r>
    </w:p>
    <w:p>
      <w:r>
        <w:rPr>
          <w:b/>
        </w:rPr>
        <w:t>E. 5.2</w:t>
      </w:r>
    </w:p>
    <w:p>
      <w:r>
        <w:t>Soweit die Beschwerdeführerin wiederum rügt, ihr Honorar sei aufgrund der Höhe der honorarberechtigten Baukosten zu bemessen, ist auf die Erwägungen oben (E. 4) zu verweisen. Die Beschwerdeführerin sieht ihren Anspruch auf rechtliches Gehör durch die Vorinstanz verletzt, weil diese den Ordner kläg.act. 354 nicht beachtet habe. Dieser Ordner enthalte umfangreiche Analysen der durch den Beschwerdegegner eingereichten Bauabrechnungen. Entgegen der Ansicht der Vorinstanz müssten die Informationen darin nicht "gesucht" werden; die Analysen seien detailliert dargelegt. Die Beschwerdeführerin habe die Mehrkosten aufgrund der direkten Bestellungen durch den Beschwerdegegner feinsäuberlich zusammengestellt und aufgelistet. Die Beschwerdeführerin verkennt, dass ein globaler Verweis auf eingereichte Unterlagen den bundesrechtlichen Anforderungen an die Substanziierung nicht genügt (Urteile 4A_552/2015 vom 25. Mai 2016 E. 2.6; 5A_61/2015 vom 20. Mai 2015 E. 4.2.1.3 mit Hinweisen). Die Vorinstanz ging mithin zu Recht davon aus, dass der Verweis auf die im Ordner kläg.act. 354 enthaltenen Unterlagen eine genügende Substanziierung der Behauptungen im Schriftenwechsel nicht zu ersetzen vermag. Eine Verletzung von Bundesrecht liegt nicht vor. Daran ändert entgegen der Ansicht der Beschwerdeführerin nichts, dass der Beschwerdegegner die im Ordner analysierten Bauabrechnungen bekl. act. 33 und 34 erst an der Hauptverhandlung zu den Akten gegeben hat. Denn wie die Vorinstanz zutreffend erwogen hat, ist nicht ersichtlich, inwiefern die Beschwerdeführerin für die Substanziierung der durch sie aufgrund der direkten Vertragsabschlüsse angeblich erbrachten Zusatzleistungen auf Unterlagen des Beschwerdegegners angewiesen wäre. Die Rüge der Beschwerdeführerin, wonach die Vorinstanz durch die unterlassene Anordnung der Herausgabe weiterer Unterlagen ihr rechtliches Gehör verletzt habe, ist daher unbegründet. Zudem kann bei diesem Ergebnis offenbleiben, ob die Beschwerdeführerin den Ordner kläg.act. 354 verspätet eingereicht hat. Die Beschwerdeführerin hat nach dem Gesagten ihre tatsächlichen Behauptungen, die als Grundlage für ihren Anspruch auf Mehrvergütung dienen, nicht genügend substanziiert. Die Vorinstanz hat daher einen solchen Anspruch zu Recht - und entgegen der Ansicht der Beschwerdeführerin auch ohne Verletzung von Art. 394 OR - verneint.</w:t>
      </w:r>
    </w:p>
    <w:p>
      <w:r>
        <w:rPr>
          <w:b/>
        </w:rPr>
        <w:t>E. 6</w:t>
      </w:r>
    </w:p>
    <w:p>
      <w:r>
        <w:t>Die Beschwerde ist abzuweisen, soweit darauf einzutreten ist. Bei diesem Verfahrensausgang wird die Beschwerdeführerin kosten- und entschädigungspflichtig (Art. 66 Abs. 1, Art. 68 Abs. 1 und 2 BGG ). Da die Abfassung der Beschwerdeantwort keinen übermässigen Aufwand erforderte, besteht kein Anlass, die praxisgemäss pauschal festgesetzte Parteientschädigung entsprechend der Kostennote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