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4A_502/2010 vom 1. Dezember 2010</w:t>
      </w:r>
    </w:p>
    <w:p>
      <w:r>
        <w:t>Bundesgericht, 2010-12-01, FR</w:t>
      </w:r>
    </w:p>
    <w:p>
      <w:r>
        <w:rPr>
          <w:b/>
        </w:rPr>
        <w:t xml:space="preserve">Quelle: </w:t>
      </w:r>
      <w:r>
        <w:t>https://mcp.opencaselaw.ch/entscheid/bger_4A_502_2010</w:t>
      </w:r>
    </w:p>
    <w:p>
      <w:r>
        <w:t>FR: TF 4A_502/2010 du 1 décembre 2010</w:t>
      </w:r>
    </w:p>
    <w:p>
      <w:r>
        <w:t>IT: TF 4A_502/2010 del 1 dicembre 2010</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Interjeté par la partie qui a succombé dans ses conclusions condamnatoires ( art. 76 al. 1 LTF ), le recours est en principe recevable puisqu'il a été déposé dans le délai ( art. 100 al. 1 LTF en liaison avec l' art. 46 al. 1 let. b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L'employée soutient que la prestation litigieuse est un élément du salaire au sens de l' art. 322a CO et non pas une gratification, comme prévue à l' art. 322d CO . Dans son argumentation, elle cite l' art. 18 CO et dénonce une violation du principe de l'égalité de traitement des travailleurs.</w:t>
      </w:r>
    </w:p>
    <w:p>
      <w:r>
        <w:rPr>
          <w:b/>
        </w:rPr>
        <w:t>E. 2.1.1</w:t>
      </w:r>
    </w:p>
    <w:p>
      <w:r>
        <w:t>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al. 1 LTF ;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 ATF 136 III 186 consid. 3.2.1 p. 188);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 ATF 135 III 410 consid. 3.2 p. 413; 132 III 268 consid. 2.3.2 p. 275, 626 consid. 3.1 p. 632).</w:t>
      </w:r>
    </w:p>
    <w:p>
      <w:r>
        <w:rPr>
          <w:b/>
        </w:rPr>
        <w:t>E. 2.1.2</w:t>
      </w:r>
    </w:p>
    <w:p>
      <w:r>
        <w:t>Le droit suisse ne contient aucune disposition qui définisse et traite de façon spécifique le bonus. Selon ses caractéristiques, le bonus sera considéré soit comme une gratification au sens de l' art. 322d CO , soit comme un élément du salaire ( art. 322 CO ), pouvant revêtir, selon les cas, la forme d'une participation au résultat de l'exploitation ( art. 322a CO ). On en jugera de cas en cas sur le vu des circonstances pertinentes ( ATF 136 III 313 consid. 2 p. 317).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 ATF 136 III 313 consid. 2 p. 317; 131 III 615 consid. 5.2 p. 620; 129 III 276 consid. 2 p. 278).</w:t>
      </w:r>
    </w:p>
    <w:p>
      <w:r>
        <w:t>En l'absence d'un accord explicite, la gratification est considérée comme convenue lorsque l'employeur l'a versée durant plus de trois années consécutives sans en réserver, par une déclaration adressée au travailleur, le caractère facultatif ( ATF 131 III 615 consid. 5.2 p. 620; 129 III 276 consid. 2 p. 278 in fine). Selon les circonstances, la gratification peut être due alors même que, d'année en année, l'employeur a exprimé et répété une réserve à ce sujet ( ATF 131 III 615 consid. 5.2 p. 621; 129 III 276 consid. 2.3 p. 280 s.). Au demeurant, la gratification est accessoire par rapport au salaire et elle ne peut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Dans le cas de salaires modestes, un montant proportionnellement moins élevé peut déjà présenter le caractère d'un salaire variable ( ATF 131 III 615 consid. 5.2 et 5.3 p. 621; 129 III 276 consid. 2.1 p. 279 s.).</w:t>
      </w:r>
    </w:p>
    <w:p>
      <w:r>
        <w:rPr>
          <w:b/>
        </w:rPr>
        <w:t>E. 2.2</w:t>
      </w:r>
    </w:p>
    <w:p>
      <w:r>
        <w:t>Il ressort des constatations de fait cantonales, qui lient le Tribunal fédéral ( art. 105 al. 1 LTF ), que le conseil d'administration de la société employeuse attribue au début de chaque année un montant global à distribuer au titre de bonus de l'année écoulée et que l'octroi du bonus à tel ou tel collaborateur et le montant de celui-ci font l'objet d'une discussion entre le supérieur hiérarchique et le chef des ressources humaines, le chef marketing pouvant encore ensuite décider seul d'une adaptation éventuelle du montant prévu; les facteurs permettant d'établir le principe et le montant des bonus tiennent à la qualité des prestations personnelles des collaborateurs, à leur fonction, à la durée du travail dans l'entreprise, à leur fidélité à son égard et au nombre de leurs absences. Il a été souverainement retenu que l'employée a été informée, lors des entretiens ayant précédé son engagement, du système de bonus pratiqué par l'employeuse; il a de même été constaté que l'employée connaissait la règle implicite, selon laquelle le bonus annuel n'était versé que si les rapports de travail n'étaient pas résiliés avant le 1er mai de l'année suivante.</w:t>
      </w:r>
    </w:p>
    <w:p>
      <w:r>
        <w:t>Il a donc bien été établi que l'employée savait que l'octroi du bonus dépendait de l'appréciation de l'employeuse et non pas du résultat réalisé par la société. Le sens attribué par l'employeuse à la clause litigieuse, intitulée "Mitarbeiter Gewinnbeteiligung", étant connu de l'employée, une interprétation selon le principe de la confiance n'entre pas en considération.</w:t>
      </w:r>
    </w:p>
    <w:p>
      <w:r>
        <w:t>Le pouvoir d'appréciation que l'employeuse s'est réservé, quant à la détermination du montant du bonus, est une circonstance caractérisant la gratification. En outre, celui-ci n'a été versé qu'en 2006 et 2007, soit durant moins de trois années consécutives, et revêt une importance secondaire dans la rétribution de la travailleuse. Alors que le salaire annuel brut de l'employée s'élevait à 123'500 fr., le bonus 2008, à répartir au sein de l'office de l'employée, ascendait à 37'000 fr. Rien n'indique que celle-ci aurait eu droit aux 30'000 fr. réclamés sur les 37'000 fr. octroyés, en lieu et place de la moitié de ce montant - compte tenu du nombre de collaborateurs de l'office. Ainsi, le montant probablement obtenu se serait chiffré à 18'500 fr. (37'000 : 2), ce qui représente moins de 15% du salaire annuel. En 2006, l'employée a perçu, en sus de la rémunération convenue, 3'300 fr. pour quatre mois de travail et en 2007, 24'640 fr., ce qui, en moyenne, représente également un pourcentage inférieur à 15% du salaire annuel. Il se justifie, par conséquent, de qualifier la prestation litigieuse de gratification au sens de l' art. 322d CO .</w:t>
      </w:r>
    </w:p>
    <w:p>
      <w:r>
        <w:t>On ne discerne par ailleurs aucune inégalité de traitement entre les travailleurs, telle que dénoncée par la recourante. Il ne ressort pas de l'état de fait que l'employeuse ait accordé, pour l'année 2008, un bonus à d'autres collaborateurs qui auraient eux aussi quitté la société avant le 1er mai de l'année suivante. En outre, la jurisprudence admet que l'employeur subordonne, comme dans le cas d'espèce, le droit à la gratification à la condition que les rapports de travail ne soient pas résiliés (arrêts 4A_509/2008 du 3 février 2009 consid. 4.1 et 4C.426/2005 du 28 février 2006 consid. 5.1 et les références). Le grief soulevé en lien avec la question doit être rejeté.</w:t>
      </w:r>
    </w:p>
    <w:p>
      <w:r>
        <w:t>Pour le surplus, la recourante ne peut valablement prétendre à un versement partiel, au pro rata temporis, dès lors qu'un éventuel accord sur ce point au sens de l' art. 322d al. 2 CO fait défaut.</w:t>
      </w:r>
    </w:p>
    <w:p>
      <w:r>
        <w:t>En conclusion, l'autorité cantonale n'a pas enfreint le droit fédéral en ayant jugé que la rémunération en cause ne constituait pas un élément du salaire, mais bien une gratification, et en ayant confirmé le refus de son paiement, compte tenu de la rupture de la relation contractuelle intervenue avant le 1er mai 2009.</w:t>
      </w:r>
    </w:p>
    <w:p>
      <w:r>
        <w:t>Le recours doit ainsi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