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4A_501/2019 vom 28. Oktober 2019</w:t>
      </w:r>
    </w:p>
    <w:p>
      <w:r>
        <w:t>Bundesgericht, 2019-10-28, DE</w:t>
      </w:r>
    </w:p>
    <w:p>
      <w:r>
        <w:rPr>
          <w:b/>
        </w:rPr>
        <w:t xml:space="preserve">Quelle: </w:t>
      </w:r>
      <w:r>
        <w:t>https://mcp.opencaselaw.ch/entscheid/bger_4A_501_2019</w:t>
      </w:r>
    </w:p>
    <w:p>
      <w:r>
        <w:t>FR: TF 4A_501/2019 du 28 octobre 2019</w:t>
      </w:r>
    </w:p>
    <w:p>
      <w:r>
        <w:t>IT: TF 4A_501/2019 del 28 ottobre 2019</w:t>
      </w:r>
    </w:p>
    <w:p>
      <w:pPr>
        <w:pStyle w:val="Heading2"/>
      </w:pPr>
      <w:r>
        <w:t>Erwägungen</w:t>
      </w:r>
    </w:p>
    <w:p>
      <w:r>
        <w:rPr>
          <w:b/>
        </w:rPr>
        <w:t>E. 1</w:t>
      </w:r>
    </w:p>
    <w:p>
      <w:r>
        <w:t>Das Bezirksgericht Kriens trat mit Urteil vom 20. August 2018 auf die Klage des Beschwerdeführers vom 28. August 2017 nicht ein. Die dagegen vom Beschwerdeführer erhobene Berufung wies das Kantonsgericht Luzern mit Urteil vom 3. September 2019 ab.</w:t>
      </w:r>
    </w:p>
    <w:p>
      <w:r>
        <w:t>Gegen den Entscheid des Kantonsgerichts erhob der Beschwerdeführer mit Eingabe vom 3. Oktober 2019 Beschwerde in Zivilsachen an das Bundesgericht.</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schildert zunächst ausführlich seine eigene Sicht des Sachverhalts und der bisherigen Gerichtsverfahren. Diese Ausführungen erfüllen die gerade genannten Begründungsanforderungen an Sachverhaltsrügen offensichtlich nicht.</w:t>
      </w:r>
    </w:p>
    <w:p>
      <w:r>
        <w:rPr>
          <w:b/>
        </w:rPr>
        <w:t>E. 4</w:t>
      </w:r>
    </w:p>
    <w:p>
      <w:r>
        <w:t>Der Beschwerdeführer rügt sodann eine Verletzung der Ausstandsvorschriften durch die erst- und zweitinstanzlichen Richter. Er begründet diesen Vorwurf jedoch offensichtlich nicht hinreichend, indem er bloss ohne Weiteres behauptet, dass die Vorinstanzen und der Kanton Luzern bei der gleichen Versicherung versichert seien, bei welcher die Beschwerdegegnerin ihre Berufshaftpflichtversicherung abgeschlossen habe.</w:t>
      </w:r>
    </w:p>
    <w:p>
      <w:r>
        <w:rPr>
          <w:b/>
        </w:rPr>
        <w:t>E. 5</w:t>
      </w:r>
    </w:p>
    <w:p>
      <w:r>
        <w:t>Auch im Übrigen erfüllt die Eingabe des Beschwerdeführers die genannten Begründungsanforderung offensichtlich nicht. Er ruft darin zwar die Bestimmungen von Art. 60 ZPO , Art. 69 ZPO , Art. 394 f. ZGB, Art. 416 ZGB und Art. 6 EMRK an. Er legt vor Bundesgericht aber bloss in frei gehaltenen Ausführungen seine Sicht der Dinge dar, wonach er durch einen Anwaltsfehler seiner ehemaligen Rechtsvertreterin seiner Menschenwürde beraubt worden sei und er nun für diesen Fehler einen symbolischen Betrag von mindestens Fr. 75'000.-- fordere, ohne indessen auf die ausführlichen Erwägungen der Vorinstanz hinreichend konkret einzugehen, geschweige denn nachvollziehbar aufzuzeigen, inwiefern diese die genannten Bestimmungen verletzt haben soll.</w:t>
      </w:r>
    </w:p>
    <w:p>
      <w:r>
        <w:rPr>
          <w:b/>
        </w:rPr>
        <w:t>E. 6</w:t>
      </w:r>
    </w:p>
    <w:p>
      <w:r>
        <w:t>Auf die Beschwerde ist somit mangels hinreichender Begründung nicht einzutreten ( Art. 108 Abs. 1 lit. b BGG ).</w:t>
      </w:r>
    </w:p>
    <w:p>
      <w:r>
        <w:rPr>
          <w:b/>
        </w:rPr>
        <w:t>E. 7</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