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501/2014 vom 18. Dezember 2014</w:t>
      </w:r>
    </w:p>
    <w:p>
      <w:r>
        <w:t>Bundesgericht, 2014-12-18, DE</w:t>
      </w:r>
    </w:p>
    <w:p>
      <w:r>
        <w:rPr>
          <w:b/>
        </w:rPr>
        <w:t xml:space="preserve">Quelle: </w:t>
      </w:r>
      <w:r>
        <w:t>https://mcp.opencaselaw.ch/entscheid/bger_4A_501_2014</w:t>
      </w:r>
    </w:p>
    <w:p>
      <w:r>
        <w:t>FR: TF 4A 501/2014 du 18 décembre 2014</w:t>
      </w:r>
    </w:p>
    <w:p>
      <w:r>
        <w:t>IT: TF 4A 501/2014 del 18 dicembre 2014</w:t>
      </w:r>
    </w:p>
    <w:p>
      <w:pPr>
        <w:pStyle w:val="Heading2"/>
      </w:pPr>
      <w:r>
        <w:t>Regeste</w:t>
      </w:r>
    </w:p>
    <w:p>
      <w:r>
        <w:t>Substantiierung vertraglicher Ansprüche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1.1</w:t>
      </w:r>
    </w:p>
    <w:p>
      <w:r>
        <w:t>Angefochten ist ein Endentscheid einer letzten kantonalen Instanz ( Art. 75 Abs. 1 und Art. 90 BGG ). Dagegen steht die Beschwerde in Zivilsachen offen. Da auch die übrigen Sachurteilsvoraussetzungen erfüllt sind, ist - unter Vorbehalt rechtsgenügender Anträge ( Art. 42 Abs. 1 BGG ) und einer hinreichenden Begründung ( Art. 42 Abs. 2 und Art. 106 Abs. 2 BGG ) - auf die Beschwerde in Zivilsachen einzutreten.</w:t>
      </w:r>
    </w:p>
    <w:p>
      <w:r>
        <w:rPr>
          <w:b/>
        </w:rPr>
        <w:t>E. 1.2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er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ohnehin nicht selbst in der Sache entscheiden könnte ( BGE 136 V 131 E. 1.2; 134 III 379 E. 1.3 S. 383; 133 III 489 E. 3.1). Da das Bundesgericht nicht selbst über die Klage entscheiden könnte, sollte es die Rechtsauffassung des Klägers teilen, sondern die Sache zur weiteren Abklärung der tatsächlichen Grundlagen der strittigen Ansprüche an die Vorinstanz zurückweisen müsste, genügt der Rückweisungsantrag des Beschwerdeführers.</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Für die Beschwerdeantwort gelten dieselben Begründungsanforderungen ( BGE 140 III 115 E. 2 S. 116).</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erst der Entscheid der Vorinstanz dazu Anlass gibt ( Art. 99 Abs. 1 BGG ), was in der Beschwerde näher darzulegen ist ( BGE 133 III 393 E. 3 S. 395). Die Partei, welche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Ausserdem hat die Partei mit Aktenhinweisen darzulegen, dass sie entsprechende rechtsrelevante Tatsachen und taugliche Beweismittel bereits bei den Vorinstanzen genannt hat. Auf eine Kritik an den tatsächlichen Feststellungen der Vorinstanz, die diesen Anforderungen nicht genügt, ist nicht einzutreten (vgl. BGE 140 III 86 E. 2 S. 90; 133 II 249 E. 1.4.3 S. 255).</w:t>
      </w:r>
    </w:p>
    <w:p>
      <w:r>
        <w:rPr>
          <w:b/>
        </w:rPr>
        <w:t>E. 1.5</w:t>
      </w:r>
    </w:p>
    <w:p>
      <w:r>
        <w:t>Der Beschwerdeführer stellt seinen rechtlichen Vorbringen eine Sachverhaltsdarstellung voran, in der er den Hintergrund der Rechtsstreitigkeit aus eigener Sicht schildert. Er weicht darin - wie auch in seiner weiteren Beschwerdebegründung - in verschiedenen Punkten von den tatsächlichen Feststellungen im angefochtenen Entscheid ab oder erweitert diese, ohne eine hinreichende Sachverhaltsrüge zu erheben. Die entsprechenden Ausführungen haben daher unbeachtet zu bleiben. Zudem führt der Beschwerdeführer Art. 56, Art. 57 und Art. 91 der kantonalen Zivilprozessordnung vom 20. Dezember 1990 (ZPO/SG) ins Feld, nach der sich das erstinstanzliche Verfahren richtete (vgl. Art. 404 Abs. 1 ZPO ), ohne jedoch eine hinreichende Rüge einer verfassungswidrigen Anwendung dieser Bestimmungen zu erheben (vgl. BGE 133 III 462 E. 2.3). Darauf ist nicht einzutreten.</w:t>
      </w:r>
    </w:p>
    <w:p>
      <w:r>
        <w:rPr>
          <w:b/>
        </w:rPr>
        <w:t>E. 2</w:t>
      </w:r>
    </w:p>
    <w:p>
      <w:r>
        <w:t>Der Beschwerdeführer bringt zunächst vor, die Vorinstanz habe die in der Berufungsschrift vorgebrachten Noven hinsichtlich des "Retreats" vom März 2005, anlässlich dessen eine mündliche Vereinbarung über die Reihenfolge der Autorennennung abgeschlossen worden sein soll, zu Unrecht als unzulässig erachtet, worin eine Verletzung von Art. 317 Abs. 1 lit. b ZPO und eine Gehörsverletzung ( Art. 53 Abs. 1 ZPO sowie Art. 29 Abs. 2 BV bzw. Art. 6 Ziff. 1 EMRK ) zu erblicken sei.</w:t>
      </w:r>
    </w:p>
    <w:p>
      <w:r>
        <w:rPr>
          <w:b/>
        </w:rPr>
        <w:t>E. 2.1</w:t>
      </w:r>
    </w:p>
    <w:p>
      <w:r>
        <w:t>Die Vorinstanz erwog unter Hinweis auf Art. 317 Abs. 1 ZPO , es wäre dem Beschwerdeführer möglich und zumutbar gewesen, seine Tatsachenbehauptungen zum "Retreat" vom März 2005 bereits vor erster Instanz vorzubringen, weshalb diese im Berufungsverfahren nicht mehr zu berücksichtigen seien. Dabei begründete sie insbesondere, weshalb der klägerische Einwand, wonach erst der angefochtene Entscheid Anlass zu diesen neuen Ausführungen gegeben habe, nicht stichhaltig sei.</w:t>
      </w:r>
    </w:p>
    <w:p>
      <w:r>
        <w:rPr>
          <w:b/>
        </w:rPr>
        <w:t>E. 2.2</w:t>
      </w:r>
    </w:p>
    <w:p>
      <w:r>
        <w:t>Damit stösst die vor Bundesgericht erhobene Rüge, die Vorinstanz habe ihre gerichtliche Begründungspflicht verletzt, ins Leere. Entsprechendes gilt hinsichtlich der vorinstanzlichen Erwägung, die klägerischen Vorbringen seien "grundsätzlich verspätet" : Aus dem Zusammenhang ergibt sich unzweideutig, dass die Vorinstanz damit die grundsätzliche Unzulässigkeit der fraglichen Noven zum Ausdruck bringen wollte, bevor sie zur Prüfung der Voraussetzungen einer Ausnahme nach Art. 317 Abs. 1 ZPO schritt. Der Beschwerdeführer behauptet vor Bundesgericht einmal mehr, die unechten Noven zum "Retreat" seien zulässig, da erst der mit Berufung angefochtene Entscheid überhaupt Anlass dazu gegeben habe. Er verweist zur Begründung jedoch lediglich auf seine Berufungsschrift und führt in keiner Weise aus, inwiefern dies der Fall gewesen sein soll. Inwiefern die neuen Vorbringen entgegen den vorinstanzlichen Erwägungen ausnahmsweise zu berücksichtigen gewesen wären und die Vorinstanz mit ihrem gegenteiligen Entscheid Art. 317 Abs. 1 lit. b ZPO verletzt hätte, vermag der Beschwerdeführer mit seinen Ausführungen ebenso wenig aufzuzeigen wie eine Verletzung des rechtlichen Gehörs ( Art. 53 Abs. 1 ZPO und Art. 29 Abs. 2 BV bzw. Art. 6 Ziff. 1 EMRK ).</w:t>
      </w:r>
    </w:p>
    <w:p>
      <w:r>
        <w:rPr>
          <w:b/>
        </w:rPr>
        <w:t>E. 3</w:t>
      </w:r>
    </w:p>
    <w:p>
      <w:r>
        <w:t>Der Beschwerdeführer wehrt sich gegen die vorinstanzliche Erwägung, wonach er eine vertragliche Grundlage für die eingeklagten Ansprüche nicht hinreichend substantiiert habe.</w:t>
      </w:r>
    </w:p>
    <w:p>
      <w:r>
        <w:rPr>
          <w:b/>
        </w:rPr>
        <w:t>E. 3.1</w:t>
      </w:r>
    </w:p>
    <w:p>
      <w:r>
        <w:t>Die Pflicht einer Prozesspartei, ihre Sachdarstellungen zu substantiieren, bedeutet, dass die Partei die Tatsachen nicht nur in den Grundzügen, sondern so umfassend und klar dazulegen hat, dass darüber Beweis abgenommen werden kann. Dabei bestimmt das Bundesrecht, wie weit ein Sachverhalt zu substantiieren ist, damit er unter die Bestimmungen des materiellen Rechts subsumiert werden kann. Die inhaltliche Tragweite der Substantiierungslast hängt auch vom prozessualen Verhalten der Gegenpartei ab. Tatsachenbehauptungen müssen so konkret formuliert sein, dass ein substantiiertes Bestreiten möglich ist oder der Gegenbeweis angetreten werden kann ( BGE 127 III 365 E. 2b mit Hinweisen). Stellt das kantonale Gericht überhöhte Anforderungen an die Substantiierungslast, indem es detailliertere Tatsachenbehauptungen verlangt als für die rechtliche Beurteilung des anspruchsbegründenden Sachverhalts nötig, verletzt es Bundesrecht ( BGE 114 II 289 E. 2a S. 291).</w:t>
      </w:r>
    </w:p>
    <w:p>
      <w:r>
        <w:rPr>
          <w:b/>
        </w:rPr>
        <w:t>E. 3.2</w:t>
      </w:r>
    </w:p>
    <w:p>
      <w:r>
        <w:t>Obwohl seine Ausführungen zum "Retreat" vom März 2005 im vorinstanzlichen Verfahren - wie erwähnt - verspätet erfolgten und damit unbeachtet zu bleiben haben, beruft sich der Beschwerdeführer auch vor Bundesgericht massgeblich auf entsprechende Tatsachenbehauptungen und leitet daraus eine hinreichende Substantiierung der eingeklagten Vertragsansprüche ab. Soweit er seine Rügen auf einen Sachverhalt stützt, der von den verbindlichen Feststellungen der Vorinstanz abweicht, ist er nicht zu hören. Da die Beschwerdeschrift in unzulässiger Weise tatsächliche und rechtliche Vorbringen vermengt, ist auf seine Vorbringen im Folgenden nur noch insoweit einzugehen, als daraus wenigstens sinngemäss erkennbar ist, welche Bundesrechtssätze und inwiefern sie durch den angefochtenen Entscheid der Vorinstanz verletzt sein sollen, wenn die verbindlichen Feststellungen im angefochtenen Entscheid zugrunde gelegt werden ( Art. 105 Abs. 1 BGG ). Der Beschwerdeführer vermag vor Bundesgericht nicht aufzuzeigen, inwiefern die Vorinstanz überhöhte Anforderungen an die Substantiierungslast gestellt und damit Bundesrecht verletzt hätte. Die Vorinstanz ging zutreffend davon aus, dass es dem Beschwerdeführer oblag, im Hinblick auf eine Beweisabnahme nähere Ausführungen zu den Umständen des angeblichen mündlichen Vertragsschlusses zu machen, um eine substantiierte Bestreitung bzw. eine Beweisabnahme zu ermöglichen. Die nicht weiter konkretisierte Behauptung, die Parteien hätten sich "beim Projektbeginn" auf eine bestimmte Reihenfolge der Autorennennung geeinigt, erachtete sie ohne Verletzung von Bundesrecht als unzureichend. Indem der Beschwerdeführer vor Bundesgericht lediglich erwähnt, welche Aussagen die von ihm aufgerufenen Zeugen voraussichtlich hätten machen können, vermag er von vornherein nicht aufzuzeigen, inwiefern seine Behauptungen im vorinstanzlichen Verfahren den Substantiierungsanforderungen genügt hätten. Zudem bringt der Beschwerdeführer vor Bundesgericht selber vor, dass bei einem mündlichen Vertrag mit über zehn Parteien, wie er ihn behauptet, nicht alle Vertragsparteien im gleichen Augenblick und am gleichen Ort ihre Zustimmung erklärten, sondern massgebend sei, dass alle Vertragsparteien zustimmten. Entsprechend wäre zu konkretisieren gewesen, unter welchen Umständen die beteiligten Personen wann jeweils welche (mündliche) Zustimmungserklärung abgegeben haben sollen. Die Vorinstanz hat daher zu Recht dafür gehalten, dass die Vorbringen des Beschwerdeführers nicht genügend konkret seien, um den Beschwerdegegnern ein substantiiertes Bestreiten bzw. den Antritt des Gegenbeweises und dem Gericht eine gezielte Beweisabnahme zu ermöglichen, und hat in diesem Zusammenhang zutreffend darauf hingewiesen, dass das Beweisverfahren nicht dazu dient, eine lückenhafte Sachdarstellung zu ergänzen. Die Vorinstanz hat demnach den vom Beschwerdeführer behaupteten mündlichen Vertragsschluss hinsichtlich der Reihenfolge der Namensnennung und damit die eingeklagten Vertragsansprüche ohne Verletzung von Bundesrecht als nicht hinreichend substantiiert erachtet. Entgegen der in der Beschwerde vertretenen Ansicht liegt weder eine Verletzung des Beweisführungs- und Gehörsanspruchs noch eine Missachtung der Rechtsweggarantie ( Art. 29a BV ) vor.</w:t>
      </w:r>
    </w:p>
    <w:p>
      <w:r>
        <w:rPr>
          <w:b/>
        </w:rPr>
        <w:t>E. 4</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