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4A_501/2011 vom 15. November 2011</w:t>
      </w:r>
    </w:p>
    <w:p>
      <w:r>
        <w:t>Bundesgericht, 2011-11-15, FR</w:t>
      </w:r>
    </w:p>
    <w:p>
      <w:r>
        <w:rPr>
          <w:b/>
        </w:rPr>
        <w:t xml:space="preserve">Quelle: </w:t>
      </w:r>
      <w:r>
        <w:t>https://mcp.opencaselaw.ch/entscheid/bger_4A_501_2011</w:t>
      </w:r>
    </w:p>
    <w:p>
      <w:r>
        <w:t>FR: TF 4A_501/2011 du 15 novembre 2011</w:t>
      </w:r>
    </w:p>
    <w:p>
      <w:r>
        <w:t>IT: TF 4A_501/2011 del 15 novembre 2011</w:t>
      </w:r>
    </w:p>
    <w:p>
      <w:pPr>
        <w:pStyle w:val="Heading2"/>
      </w:pPr>
      <w:r>
        <w:t>Erwägungen</w:t>
      </w:r>
    </w:p>
    <w:p>
      <w:r>
        <w:rPr>
          <w:b/>
        </w:rPr>
        <w:t>E. 1.1</w:t>
      </w:r>
    </w:p>
    <w:p>
      <w:r>
        <w:t>L'ordonnance attaquée a été rendue en matière civile ( art. 72 al. 1 LTF ) dans le cadre d'une affaire pécuniaire. Dans les affaires pécuniaires, le recours en matière civile n'est recevable que si la valeur litigieuse s'élève au moins à 15'000 fr. en matière de droit du bail à loyer ( art. 74 al. 1 let. a LTF ). La recourante est d'avis que la valeur litigieuse de la présente contestation peut être arrêtée à 13'950 fr. Elle la calcule en supputant le nombre de mois - une dizaine, selon elle - qui s'écouleront vraisemblablement entre la date du dépôt de son recours et celle où son expulsion pourra être exécutée par la force publique, puis en multipliant le chiffre retenu par le montant du loyer mensuel (10 x 1'395 fr). Toutefois, le calcul qu'elle propose n'est pas correct. Ce n'est, en effet, pas la seule procédure d'expulsion proprement dite, c'est-à-dire l'exécution de l'ordonnance d'expulsion, qui est en cause ici (pour un ex., cf. l'arrêt 4A_72/2007 du 22 août 2007 consid. 2.2), mais bien, quoique de manière indirecte, cette ordonnance même, puisque, en réalité, la recourante conteste que les conditions (formelles) d'application de l' art. 257d CO aient été réalisées dans le cas concret. Or, selon la jurisprudence, dans une contestation portant sur la validité de la résiliation d'un bail, la valeur litigieuse est égale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 art. 271a al. 1 let . e CO consacre l'annulabilité d'une résiliation signifiée après une procédure judiciaire (arrêt 4A_189/2011 du 4 juillet 2011, destiné à la publication, consid. 1.1 et les arrêts cités). En l'espèce, eu égard au montant du loyer mensuel, la valeur litigieuse atteint aisément le seuil de 15'000 fr. fixé pour la recevabilité du recours en matière civile. Tel est d'ailleurs le résultat auquel la Cour d'appel civile a abouti dans son arrêt du 2 septembre 2011 (p. 4). Point n'est, dès lors, besoin d'examiner si les deux problèmes que la recourante soulève dans son mémoire sont des questions juridiques de principe visées par l' art. 74 al. 2 let. a LTF .</w:t>
      </w:r>
    </w:p>
    <w:p>
      <w:r>
        <w:t>Il s'ensuit que le recours constitutionnel subsidiaire est irrecevable ( art. 113 LTF ).</w:t>
      </w:r>
    </w:p>
    <w:p>
      <w:r>
        <w:rPr>
          <w:b/>
        </w:rPr>
        <w:t>E. 1.2</w:t>
      </w:r>
    </w:p>
    <w:p>
      <w:r>
        <w:t>En tant que locataire sous le coup d'une ordonnance d'expulsion rendue en son absence, la recourante, qui, selon ses dires, a été privée sans droit de la possibilité de prendre part à la procédure devant le juge ayant rendu cette ordonnance, est particulièrement touchée par la décision attaquée et a un intérêt digne de protection à l'annulation ou à la modification de cette décision par laquelle le Juge de paix a refusé de donner suite à sa demande de restitution et de citer les parties à une nouvelle audience. Aussi faut-il lui reconnaître la qualité pour recourir ( art. 76 al. 1 LTF ).</w:t>
      </w:r>
    </w:p>
    <w:p>
      <w:r>
        <w:t>Déposé dans le délai ( art. 100 al. 1 LTF en liaison avec l' art. 46 al. 1 let. b LTF ) et la forme ( art. 42 LTF ) prévus par la loi, son recours est ainsi recevable sous ces différents aspects. Semblable remarque n'épuise cependant pas le sujet.</w:t>
      </w:r>
    </w:p>
    <w:p>
      <w:r>
        <w:rPr>
          <w:b/>
        </w:rPr>
        <w:t>E. 2.1</w:t>
      </w:r>
    </w:p>
    <w:p>
      <w:r>
        <w:t>Comme le rappelle un récent arrêt ( ATF 137 III 238 consid. 2.2 p. 240), depuis le 1er janvier 2011 le recours en matière civile n'est recevable que contre une décision cantonale de dernière instance ( art. 75 al. 1 LTF ), prise par un tribunal supérieur (art. 75 al. 2, 1re phrase, LTF), c'est-à-dire un tribunal cantonal (ou l'un ou plusieurs de ses membres), et, sauf exceptions, rendue sur recours (art. 75 al. 2, 2e phrase, LTF).</w:t>
      </w:r>
    </w:p>
    <w:p>
      <w:r>
        <w:t>En l'espèce, la décision attaquée est une ordonnance rendue par un juge de paix d'un district vaudois. Elle n'émane pas, à l'évidence, d'un tribunal supérieur du canton considéré. De surcroît, elle n'entre pas dans les prévisions de l'art. 75 al. 2, 2e phrase, let. a LTF, étant donné que l'objet du litige ne relève pas des domaines juridiques pour lesquels l' art. 5 CPC prescrit une instance cantonale unique.</w:t>
      </w:r>
    </w:p>
    <w:p>
      <w:r>
        <w:t>Par conséquent, le présent recours, qui ne porte pas sur une décision prise par un tribunal supérieur, est manifestement irrecevable pour cette raison.</w:t>
      </w:r>
    </w:p>
    <w:p>
      <w:r>
        <w:rPr>
          <w:b/>
        </w:rPr>
        <w:t>E. 2.2</w:t>
      </w:r>
    </w:p>
    <w:p>
      <w:r>
        <w:t>Sous lettres Bj) et Da) de son mémoire (p. 4 et 5), la recourante expose que, à son avis, un moyen de droit cantonal est ouvert contre l'ordonnance du Juge de paix statuant sur une demande de restitution, au sens de l' art. 148 CPC , nonobstant l'adverbe "définitivement" utilisé à l' art. 149 CPC . C'est pourquoi elle a déposé un appel ( art. 308 ss CPC ) et, à titre subsidiaire, un recours ( art. 319 ss CPC ) à la Cour d'appel civile du Tribunal cantonal vaudois contre l'ordonnance du 22 juillet 2011. Elle ajoute que, si la juridiction cantonale ne devait pas entrer en matière sur l'un de ces deux moyens de droit, sans s'exposer pour autant au grief de violation du droit fédéral, le recours en matière civile serait alors recevable, quand bien même il vise une décision prise par un tribunal inférieur.</w:t>
      </w:r>
    </w:p>
    <w:p>
      <w:r>
        <w:t>Force est toutefois de constater que la recourante ne motive pas son point de vue, sinon par une référence au passage d'un ouvrage de doctrine qui traite d'un problème différent, à savoir la règle de l'épuisement des instances cantonales (BERNARD CORBOZ, Commentaire de la LTF, 2009, n° 10 ad art. 75 LTF ). Concrètement, la recourante n'indique pas sur quelle base elle fonde la recevabilité d'un recours fédéral visant une décision, par hypothèse définitive, prise par une juridiction ne constituant pas un tribunal supérieur. Faute d'une motivation suffisante, il n'est donc pas possible d'examiner plus avant cette question.</w:t>
      </w:r>
    </w:p>
    <w:p>
      <w:r>
        <w:rPr>
          <w:b/>
        </w:rPr>
        <w:t>E. 3</w:t>
      </w:r>
    </w:p>
    <w:p>
      <w:r>
        <w:t>La recourante, qui succombe, devra supporter les frais de la procédure fédérale ( art. 66 al. 1 LTF ). Comme ses conclusions étaient d'emblée vouées à l'échec, sa demande d'assistance judiciaire ne peut qu'être rejetée ( art. 64 al. 1 LTF ). Quant à l'intimée, qui n'a pas été invitée à déposer une réponse et qui n'est pas représentée par un avocat,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