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501/2008 vom 30. Januar 2009</w:t>
      </w:r>
    </w:p>
    <w:p>
      <w:r>
        <w:t>Bundesgericht, 2009-01-30, FR</w:t>
      </w:r>
    </w:p>
    <w:p>
      <w:r>
        <w:rPr>
          <w:b/>
        </w:rPr>
        <w:t xml:space="preserve">Quelle: </w:t>
      </w:r>
      <w:r>
        <w:t>https://mcp.opencaselaw.ch/entscheid/bger_4A_501_2008</w:t>
      </w:r>
    </w:p>
    <w:p>
      <w:r>
        <w:t>FR: TF 4A 501/2008 du 30 janvier 2009</w:t>
      </w:r>
    </w:p>
    <w:p>
      <w:r>
        <w:t>IT: TF 4A 501/2008 del 30 gennaio 2009</w:t>
      </w:r>
    </w:p>
    <w:p>
      <w:pPr>
        <w:pStyle w:val="Heading2"/>
      </w:pPr>
      <w:r>
        <w:t>Regeste</w:t>
      </w:r>
    </w:p>
    <w:p>
      <w:r>
        <w:t>procédure civile; appréciation des preuves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excède le minimum légal de 30'000 fr. (art. 51 al. 1 let. a et 74 al. 1 let. b LTF). Introduit en temps utile ( art. 100 al. 1 LTF ) et dans les formes requises (art. 42 al. 1 à 3 LTF), le recours est en principe recevable. Il n'est pas nécessaire de vérifier si le recours est aussi recevable en tant qu'il est dirigé contre la masse en faillite de N.________ SA, laquelle, semble-t-il, n'a pas été assignée dans les instances cantonales, ni si le Tribunal fédéral est saisi, selon les affirmations des défendeurs, de certaines conclusions nouvelles aux termes de l' art. 99 al. 2 LTF . En effet, ces questions n'influencent pas l'issue de la cause.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Il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S'il se révèle que le contrat apparemment conclu ne correspond pas à la réelle et commune intention des parties, ce contrat, acte simulé, est nul; il est alors nécessaire de déterminer quel est le contrat que, le cas échéant, les parties ont réellement conclu; celui-ci, acte dissimulé, est valable s'il ne contrevient à aucune des dispositions qui lui sont par ailleurs applicables ( ATF 117 II 382 consid. 2a p. 384; voir aussi ATF 123 IV 61 consid. 5c/cc p. 68; Benedict Winiger, Commentaire romand, ch. 81, 90 et 91 ad art. 18 CO ; Peter Jäggi et Peter Gauch, Commentaire zurichois, ch. 120, 121, 139 à 142 ad art. 18 CO ). Selon la décision attaquée, la teneur des contrats souscrits le 14 janvier 1999 exprime la réelle et commune intention des parties auxdits contrats, et N.________ SA ne s'est pas obligée, envers le demandeur, à lui remettre des actions de M.________ Sàrl autrement que selon les termes de la promesse irrévocable de vente. Le demandeur tient ces constatations de la Cour de justice pour contraires à l' art. 8 CC qui concerne la preuve dans les contestations soumises au droit civil fédéral. Sur la base des art. 97 al. 1 LTF et 9 Cst., le demandeur se plaint aussi d'une constatation arbitraire des faits et, en particulier, d'une appréciation arbitraire des témoignages recueillis.</w:t>
      </w:r>
    </w:p>
    <w:p>
      <w:r>
        <w:rPr>
          <w:b/>
        </w:rPr>
        <w:t>E. 3</w:t>
      </w:r>
    </w:p>
    <w:p>
      <w:r>
        <w:t>Aux termes de l' art. 8 CC ,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 ATF 126 III 189 consid. 2b p. 191/192; voir aussi ATF 132 III 689 consid. 4.5 p. 701/702; 129 III 18 consid. 2.6 p. 24). Dans la présente affaire, le demandeur admet qu'il lui incombait de prouver, outre la simulation des contrats souscrits le 14 janvier 1999, la conclusion d'un contrat de fiducie entre lui et N.________ SA. Il soutient toutefois que la Cour de justice n'aurait pas dû exiger une preuve stricte mais seulement une preuve atténuée, limitée à la vraisemblance prépondérante. Il fait valoir que la recherche des pièces utiles à la preuve, dans les dossiers de N.________ SA, était extraordinairement difficile en raison d'un grand désordre, trouvé dans les bureaux de B.________ après le décès de celui-ci et aggravé par les perquisitions et les mises sous scellés de l'office des faillites et de la police judiciaire. Il fait aussi valoir que par sa nature, la simulation est difficile à prouver. En règle générale, la preuve d'un fait est apportée lorsque le juge, en considération d'éléments d'appréciation objectifs, est convaincu de la réalité de ce fait. Exceptionnellement, la preuve est apportée déjà lorsque le fait à prouver présente objectivement, d'après les éléments disponibles, une vraisemblance prépondérante par rapport aux autres faits possibles; cet allégement de la preuve se justifie notamment lorsque, en raison de la nature du fait concerné, une preuve stricte est impossible ou ne peut pas être raisonnablement exigée. En revanche, il n'y a pas lieu à allégement lorsque, en lui-même, le fait est susceptible de la preuve ordinaire mais qu'en raison de circonstances particulières au cas d'espèce, la partie chargée de cette preuve se trouve empêchée d'apporter les éléments nécessaires ( ATF 130 III 321 consid. 3.2 p. 324; voir aussi ATF 133 III 81 consid. 4.2.2 p. 88). Les difficultés consécutives à la gestion désordonnée et à la faillite de N.________ SA, dans la recherche des pièces propres à accréditer la thèse du demandeur, sont dépourvues de toute pertinence au regard de l' art. 8 CC . Pour le surplus, celui qui participe sciemment à un acte simulé, créant ainsi une apparence contraire à la réalité, doit envisager et accepter que par la suite, les preuves de la simulation et de l'acte dissimulé soient éventuellement difficiles à apporter. D'ailleurs, il est de règle que seules des raisons sérieuses peuvent conduire, le cas échéant, à s'écarter du texte adopté par les cocontractants ( ATF 131 III 606 consid. 4.2 p. 611; 130 III 417 consid. 3.2; 129 III 118 consid. 2.5). Ainsi, contrairement à l'opinion du demandeur, le succès de son action en justice dépendait de la preuve stricte, ou ordinaire, de la simulation de la promesse de vente et de la conclusion d'un contrat fiduciaire.</w:t>
      </w:r>
    </w:p>
    <w:p>
      <w:r>
        <w:rPr>
          <w:b/>
        </w:rPr>
        <w:t>E. 4</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 En ce qui concerne spécialement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Il y a lieu d'admettre que, conformément aux affirmations développées à l'appui du recours, N.________ SA n'a pas voulu prendre réellement un intérêt propre dans les affaires de M.________ Sàrl, et que l'achat de mille et une actions, le 14 janvier 1999, était seulement une opération de portage au service du demandeur et de Y.________: ceux-ci voulaient entrer de fait dans la société mais ne pas apparaître au nombre des actionnaires. Tous deux ont rapidement, mais secrètement et par l'entremise de N.________ SA, fait un important apport de fonds, et ils ont ensuite pris part, avec Z.________, à la gestion des affaires sociales. N.________ SA ne s'est pas souciée, elle, desdites affaires, et son domaine d'activité n'avait d'ailleurs aucun lien avec celui de M.________ Sàrl. Pour le surplus, il faut élucider si la relation de portage, entre N.________ SA et le demandeur, reposait sur un contrat fiduciaire dissimulé ou sur la promesse irrévocable de vente qui se trouve effectivement actée. Dans la première hypothèse, alléguée par le demandeur, celui-ci peut éventuellement revendiquer les actions sur la base de l' art. 401 CO ; dans l'autre hypothèse, il peut seulement produire une créance correspondant à la valeur de son option au jour de l'ouverture de la faillite, conformément à l' art. 211 al. 1 LP . Selon le témoignage de C.________, B.________ utilisait ou faisait utiliser, par N.________ SA, trois modèles de documents pour le portage d'actions: le contrat fiduciaire, la promesse irrévocable de vente ou une simple lettre par laquelle N.________ SA s'engageait à détenir des titres pour autrui. B.________ ayant proposé la promesse de vente dans l'affaire de M.________ Sàrl, alors qu'il aurait pu proposer le contrat fiduciaire, le juge du fait peut retenir sans arbitraire que la volonté de ce cocontractant portait bien sur le contrat effectivement signé. Y.________ et le demandeur se sont montrés incapables d'expliquer pourquoi ils ont prétendument simulé des promesses de vente alors qu'ils voulaient, toujours selon leurs affirmations, conclure des contrats fiduciaires. Au regard de cette situation, on peut supposer sans plus d'arbitraire qu'à l'époque, les nouveaux associés se préoccupaient seulement de réaliser une opération de portage de leurs titres, sans se soucier de choisir, à cette fin, entre diverses solutions juridiques, et que, conseillés par B.________, ils s'en sont remis à la convention proposée par celui-ci. Les indices en présence autorisent donc à retenir que la promesse de vente coïncidait avec la réelle et commune intention des trois partenaires. Certes, on ignore pourquoi B.________ a préféré la promesse de vente au contrat fiduciaire. On peut seulement relever qu'en raison de la durée de cette promesse qui était fixée à dix ans, les titulaires de l'option seraient contraints de retirer leurs titres avant cette échéance, sauf à les perdre sans contrepartie. B.________ a peut-être voulu limiter, ainsi, la durée du portage. Le demandeur explique que lui-même ne prévoyait pas de s'engager à long terme dans M.________ Sàrl; cela corrobore l'hypothèse d'une opération limitée dans le temps. Quant aux témoignages invoqués par le demandeur, on observe d'abord que Z.________ n'était pas personnellement engagé dans l'opération de portage des actions; celle-ci ne concernait directement que ses deux associés. Y.________ semble n'avoir aucun intérêt personnel à l'issue de la cause; néanmoins, il pouvait être enclin à favoriser le demandeur, compte tenu que leurs relations d'affaires sont anciennes et ont débuté déjà avant leur rencontre avec Z.________. En janvier 1999, C.________ n'était pas encore l'assistante de B.________ et elle n'a donc pas collaboré aux préparatifs de l'opération. L'aspect le plus important est toutefois ailleurs: sur la question essentielle du choix entre la promesse de vente ou le contrat fiduciaire, les déclarations des témoins ne se rattachent à aucun indice objectif. On peut donc, sans arbitraire, les rejeter en faveur d'une solution semblant plus vraisemblable au regard des autres éléments disponibles, et, surtout, correspondant au document que les cocontractants ont créé le 14 janvier 1999. Il n'est pas nécessaire de vérifier si les motifs retenus par la Cour de justice, à l'appui de son appréciation, résistent en tous points aux critiques du demandeur, car, de toute manière, sa décision n'est pas arbitraire dans son résultat; elle échappe donc au grief tiré des art. 97 al. 1 LTF et 9 Cst.</w:t>
      </w:r>
    </w:p>
    <w:p>
      <w:r>
        <w:rPr>
          <w:b/>
        </w:rPr>
        <w:t>E. 5</w:t>
      </w:r>
    </w:p>
    <w:p>
      <w:r>
        <w:t>Le demandeur se réfère encore au principe de la confiance qui est consacré dans l'application de l' art. 18 al. 1 CO . Selon la jurisprudence concernant cette disposition,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 ATF 132 III 24 consid. 4 p. 27/28). Le principe de la confiance permet d'imputer à une partie le sens objectif de sa déclaration ou de son comportement, même si celui-ci ne correspond pas à sa volonté intime ( ATF 131 III 606 consid. 4.1 p. 611; 130 III 417 consid. 3.2 p. 424; 129 III 118 consid. 2.5 p. 123, 664 consid. 3.1 p. 667). La Cour de justice a établi la réelle et commune intention du demandeur et de B.________, celui-ci traitant au nom de N.________ SA, en constatant que cette intention est exprimée par le texte de la promesse irrévocable de vente. L'interprétation de ce document n'est d'ailleurs pas litigieuse. Il n'y a donc pas lieu de mettre en oeuvre le principe de la confiance, de sorte que la décision attaquée ne saurait lui être contraire.</w:t>
      </w:r>
    </w:p>
    <w:p>
      <w:r>
        <w:rPr>
          <w:b/>
        </w:rPr>
        <w:t>E. 6</w:t>
      </w:r>
    </w:p>
    <w:p>
      <w:r>
        <w:t>Le recours se révèle privé de fondement, dans la mesure où les conclusions présentées sont recevables. A titre de partie qui succombe, son auteur doit acquitter l'émolument à percevoir par le Tribunal fédéral et les dépens auxquels les défendeurs, ayant déposé une réponse commune, peuvent prétendre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