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500/2019 vom 2. Dezember 2019</w:t>
      </w:r>
    </w:p>
    <w:p>
      <w:r>
        <w:t>Bundesgericht, 2019-12-02, DE</w:t>
      </w:r>
    </w:p>
    <w:p>
      <w:r>
        <w:rPr>
          <w:b/>
        </w:rPr>
        <w:t xml:space="preserve">Quelle: </w:t>
      </w:r>
      <w:r>
        <w:t>https://mcp.opencaselaw.ch/entscheid/bger_4A_500_2019</w:t>
      </w:r>
    </w:p>
    <w:p>
      <w:r>
        <w:t>FR: TF 4A 500/2019 du 2 décembre 2019</w:t>
      </w:r>
    </w:p>
    <w:p>
      <w:r>
        <w:t>IT: TF 4A 500/2019 del 2 dicembre 2019</w:t>
      </w:r>
    </w:p>
    <w:p>
      <w:pPr>
        <w:pStyle w:val="Heading2"/>
      </w:pPr>
      <w:r>
        <w:t>Regeste</w:t>
      </w:r>
    </w:p>
    <w:p>
      <w:r>
        <w:t>Forderung | Vertragsrecht</w:t>
      </w:r>
    </w:p>
    <w:p>
      <w:pPr>
        <w:pStyle w:val="Heading2"/>
      </w:pPr>
      <w:r>
        <w:t>Erwägungen</w:t>
      </w:r>
    </w:p>
    <w:p>
      <w:r>
        <w:rPr>
          <w:b/>
        </w:rPr>
        <w:t>E. 1</w:t>
      </w:r>
    </w:p>
    <w:p>
      <w:r>
        <w:t>Mit Eingabe vom 11. April 2019 reichte A.________ (Beschwerdeführerin) beim Handelsgericht des Kantons Zürich eine Forderungsklage ein und ersuchte gleichzeitig um Gewährung der unentgeltlichen Rechtspflege. Mit Beschluss vom 7. Mai 2019 wies das Handelsgericht das Gesuch um unentgeltliche Rechtspflege aufgrund ungenügender Begründung der Mittellosigkeit ab und setzte A.________ eine Frist zur Leistung des Gerichtskostenvorschusses an. Auf die dagegen erhobene Beschwerde trat das Bundesgericht mit Urteil 4A_247/2019 vom 22. Juli 2019 nicht ein. Mit Verfügung vom 26. Juli 2019 setzte das Handelsgericht A.________ eine einmalige Nachfrist bis 26. August 2019 zur Leistung des Kostenvorschusses an, mit der Androhung, dass bei Säumnis auf die Klage nicht eingetreten werde. Am 20. August 2019 ersuchte A.________ erneut um Gewährung der unentgeltlichen Rechtspflege. Das Handelsgericht nahm diese Eingabe als Wiedererwägungsgesuch entgegen. Mit Beschluss vom 30. August 2019 wies es das Wiedererwägungsgesuch ab und trat auf die Klage nicht ein. Am 7. Oktober 2019 hat A.________ Beschwerde gegen diesen Beschluss erhoben und auch für das bundesgerichtliche Verfahren die Gewährung der unentgeltlichen Rechtspflege beantragt.</w:t>
      </w:r>
    </w:p>
    <w:p>
      <w:r>
        <w:rPr>
          <w:b/>
        </w:rPr>
        <w:t>E. 2</w:t>
      </w:r>
    </w:p>
    <w:p>
      <w:r>
        <w:t>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 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3</w:t>
      </w:r>
    </w:p>
    <w:p>
      <w:r>
        <w:t>Die Beschwerdeführerin verfehlt die eben dargestellten Begründungsanforderungen: Das Handelsgericht stellte fest, sie habe erstens nicht behauptet, dass sich ihre finanziellen Verhältnisse seit dem ersten Gesuch um Gewährung der unentgeltlichen Rechtspflege vom 11. April 2019 geändert hätten, und zweitens keine neuen, zulässigen Beweismittel zum Nachweis ihrer Mittellosigkeit eingereicht. Die Beschwerdeführerin zeigt nicht mit Aktenhinweisen auf, inwiefern diese Feststellungen willkürlich sein sollten. Vielmehr wirft sie der Vorinstanz vor, "die Akten nicht studiert" zu haben, und begnügt sich darüber hinaus damit, den Entscheid als "nicht richtig" und "willkürlich" zu bezeichnen, dem Bundesgericht frei ihre eigene Sicht der Ereignisse zu unterbreiten und in pauschaler Weise diverse Rechtsverletzungen zu monieren, so etwa Verstösse gegen Art. 5, Art. 8, Art. 26 und Art. 29 BV , Art. 119 ZPO und "bilaterale Abkommen". Die Beschwerde ist offensichtlich nicht hinreichend begründet, weshalb im vereinfachten Verfahren nach Art. 108 Abs. 1 lit. b BGG nicht auf sie einzutreten ist.</w:t>
      </w:r>
    </w:p>
    <w:p>
      <w:r>
        <w:rPr>
          <w:b/>
        </w:rPr>
        <w:t>E. 4</w:t>
      </w:r>
    </w:p>
    <w:p>
      <w:r>
        <w:t>Das Gesuch um Gewährung der unentgeltlichen Rechtspflege für das bundesgerichtliche Verfahren ist abzuweisen, weil die Beschwerde von vornherein aussichtslos war (siehe Art. 64 Abs. 1 BGG ). Die Gerichtskosten sind gemäss Art. 66 Abs. 1 BGG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