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500/2010 vom 2. August 2011</w:t>
      </w:r>
    </w:p>
    <w:p>
      <w:r>
        <w:t>Bundesgericht, 2011-08-02, FR</w:t>
      </w:r>
    </w:p>
    <w:p>
      <w:r>
        <w:rPr>
          <w:b/>
        </w:rPr>
        <w:t xml:space="preserve">Quelle: </w:t>
      </w:r>
      <w:r>
        <w:t>https://mcp.opencaselaw.ch/entscheid/bger_4A_500_2010</w:t>
      </w:r>
    </w:p>
    <w:p>
      <w:r>
        <w:t>FR: TF 4A 500/2010 du 2 août 2011</w:t>
      </w:r>
    </w:p>
    <w:p>
      <w:r>
        <w:t>IT: TF 4A 500/2010 del 2 agosto 2011</w:t>
      </w:r>
    </w:p>
    <w:p>
      <w:pPr>
        <w:pStyle w:val="Heading2"/>
      </w:pPr>
      <w:r>
        <w:t>Regeste</w:t>
      </w:r>
    </w:p>
    <w:p>
      <w:r>
        <w:t>Arbitrage international | Juridiction arbitrale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4A_500/2010 est rayée du rôle.</w:t>
      </w:r>
    </w:p>
    <w:p>
      <w:r>
        <w:rPr>
          <w:b/>
        </w:rPr>
        <w:t>E. 3</w:t>
      </w:r>
    </w:p>
    <w:p>
      <w:r>
        <w:t>Un émolument judiciaire de 20'000 fr. est mis pour moitié à la charge de chacune des parties.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mandataires des parties et au président du Tribunal arbitral CCI. Lausanne, le 2 août 2011 Au nom de la Ire Cour de droit civil du Tribunal fédéral suisse La Présidente: Le Greffier: Klett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