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4A_500/2008 vom 7. April 2009</w:t>
      </w:r>
    </w:p>
    <w:p>
      <w:r>
        <w:t>Bundesgericht, 2009-04-07, FR</w:t>
      </w:r>
    </w:p>
    <w:p>
      <w:r>
        <w:rPr>
          <w:b/>
        </w:rPr>
        <w:t xml:space="preserve">Quelle: </w:t>
      </w:r>
      <w:r>
        <w:t>https://mcp.opencaselaw.ch/entscheid/bger_4A_500_2008</w:t>
      </w:r>
    </w:p>
    <w:p>
      <w:r>
        <w:t>FR: TF 4A_500/2008 du 7 avril 2009</w:t>
      </w:r>
    </w:p>
    <w:p>
      <w:r>
        <w:t>IT: TF 4A_500/2008 del 7 aprile 2009</w:t>
      </w:r>
    </w:p>
    <w:p>
      <w:pPr>
        <w:pStyle w:val="Heading2"/>
      </w:pPr>
      <w:r>
        <w:t>Erwägungen</w:t>
      </w:r>
    </w:p>
    <w:p>
      <w:r>
        <w:rPr>
          <w:b/>
        </w:rPr>
        <w:t>E. 1.1</w:t>
      </w:r>
    </w:p>
    <w:p>
      <w:r>
        <w:t>Compte tenu du domaine du droit auquel se rapporte l'objet de la contestation, dont la valeur litigieuse est en l'occurrence supérieure à 15'000 fr. (art. 72 al. 1 et 74 al. 1 let. a LTF), la décision à rendre par l'autorité cantonale pourrait conduire les parties à interjeter un recours en matière civile après épuisement des instances cantonales. Dès lors, la voie du recours en matière civile est ouverte ici pour déni de justice ou retard injustifié.</w:t>
      </w:r>
    </w:p>
    <w:p>
      <w:r>
        <w:t>En procédure civile genevoise, le silence du juge n'est pas assimilé à une décision, de sorte qu'aucun recours cantonal n'est ouvert du fait de l'inaction d'un juge (arrêt 4A_184/2007 du 29 août 2007 consid. 1). Aussi le présent recours est-il recevable au regard de l'exigence de l'épuisement des instances cantonales ( art. 75 al. 1 LTF ). La question du respect du délai de recours ne se pose pas en l'espèce, car le recours pour déni de justice ou retard injustifié peut être formé en tout temps ( art. 100 al. 7 LTF ). La qualité pour recourir de F.X.________ n'est pas douteuse, du moins en ce qui concerne le prétendu retard mis par le Tribunal des baux et loyers à statuer sur la requête d'expulsion qu'elle lui a soumise. Le recours est, en effet, recevable si, sans en avoir le droit, la juridiction saisie s'abstient de rendre une décision sujette à recours ou tarde à le faire ( art. 94 LTF ).</w:t>
      </w:r>
    </w:p>
    <w:p>
      <w:r>
        <w:rPr>
          <w:b/>
        </w:rPr>
        <w:t>E. 1.2</w:t>
      </w:r>
    </w:p>
    <w:p>
      <w:r>
        <w:t>Que la recourante ait satisfait à l'exigence de motivation posée à l' art. 42 al. 2 LTF est déjà plus douteux. L'écriture soumise au Tribunal fédéral est, en effet, difficilement compréhensible du fait qu'elle mêle de manière quasi inextricable des questions litigieuses qui ont donné lieu à des procédures distinctes au niveau cantonal et dont l'état d'avancement n'est pas le même. La manière dont ce mémoire a été rédigé n'en facilite, de surcroît, pas la lecture et rend ladite écriture peu intelligible. Quoi qu'il en soit, on peut admettre, à la rigueur, que le grief se rapportant au déni de justice ou au retard injustifié a été valablement formulé.</w:t>
      </w:r>
    </w:p>
    <w:p>
      <w:r>
        <w:rPr>
          <w:b/>
        </w:rPr>
        <w:t>E. 2.1</w:t>
      </w:r>
    </w:p>
    <w:p>
      <w:r>
        <w:t>L' art. 29 al. 1 Cst. dispose que toute personne a droit, dans une procédure judiciaire ou administrative, à ce que sa cause soit traitée équitablement et jugée dans un délai raisonnable. A l'instar de l' 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124 I 139 consid. 2c; 119 Ib 311 consid. 5; 107 Ib 160 consid. 3c; cf. ATF 130 I 269 consid. 3.1). Le type de procédure, la difficulté de la cause et le comportement des parties sont notamment déterminants, mais non des circonstances sans rapport avec le litige, telle une organisation déficiente ou une surcharge structurelle de l'autorité ( ATF 122 IV 103 consid. 1; 107 Ib 160 consid. 3c). On ne saurait cependant reprocher à l'autorité quelques temps morts, inévitables dans une procédure (ATF 124 et 119 précités). Enfin, la nécessité d'une instruction complète l'emporte sur l'exigence de la célérité de la procédure ( ATF 119 Ib 311 consid. 5).</w:t>
      </w:r>
    </w:p>
    <w:p>
      <w:r>
        <w:rPr>
          <w:b/>
        </w:rPr>
        <w:t>E. 2.2</w:t>
      </w:r>
    </w:p>
    <w:p>
      <w:r>
        <w:t>Les arguments avancés par la recourante ne sont manifestement pas de nature à établir l'existence d'un retard injustifié imputable au Tribunal des baux et loyers.</w:t>
      </w:r>
    </w:p>
    <w:p>
      <w:r>
        <w:t>La plupart de ces arguments n'ont d'ailleurs rien à voir avec cette question. Tel est le cas du grief que la recourante fait aux locataires et à B.________ de ne pas vouloir reconnaître son usufruit ou encore de la violation, alléguée par elle, des art. 255 ss CO , en particulier de l' art. 270a al. 2 CO , en rapport avec la demande de baisse de loyer présentée par les intimées, voire de sa référence à l'art. 7 de la loi de procédure civile genevoise (LPC; RS E 3 05) relatif au contenu de l'assignation. De même, le reproche adressé au Tribunal des baux et loyers d'avoir accordé un traitement de faveur à B.________ apparaît incompréhensible dans sa formulation et inconsistant sur le fond. Quant à la demande en dommages-intérêts d'un montant de 47'600 fr., présentée par la recourante "pour procédures intentionnellement inexactes et de mauvaise foi et des paiements des frais qui en ont résulté", elle ne saurait être soumise directement au Tribunal fédéral, vu les art. 75 al. 1 et 120 al. 1 LTF.</w:t>
      </w:r>
    </w:p>
    <w:p>
      <w:r>
        <w:t>Ne reste à examiner, en définitive, que le grief, fait au Tribunal des baux et loyers, d'avoir tardé à statuer. Dans la mesure où la recourante croit pouvoir étayer ce grief en se prévalant de la violation de l' art. 59 LPC , elle se trompe. En effet, la conciliation, régie par cette disposition, vise la procédure ordinaire, tandis que celle qui doit intervenir dans les différends en matière de baux et loyers est régie par une loi spéciale par renvoi de l' art. 426 al. 1 LPC .</w:t>
      </w:r>
    </w:p>
    <w:p>
      <w:r>
        <w:t>Pour le surplus, il ressort de la relation de ses principales étapes, telle qu'elle a été faite sous lettre B. du présent arrêt, que la procédure d'évacuation n'a pas subi de temps morts significatifs. Il est du reste vraisemblable qu'elle prendra fin, en première instance, dans un délai relativement court, si tant est que le Tribunal des baux et loyers n'ait pas déjà rendu son jugement, de sorte que moins de huit mois se seront écoulés entre la date du dépôt de la requête et celle du prononcé de la juridiction de première instance, ce qui apparaît encore raisonnable.</w:t>
      </w:r>
    </w:p>
    <w:p>
      <w:r>
        <w:t>Cela étant, le recours se révèle mal fondé sur la question du retard injustifié et irrecevable pour le surplus.</w:t>
      </w:r>
    </w:p>
    <w:p>
      <w:r>
        <w:rPr>
          <w:b/>
        </w:rPr>
        <w:t>E. 3</w:t>
      </w:r>
    </w:p>
    <w:p>
      <w:r>
        <w:t>En application de l' art. 66 al. 1 LTF , les frais de la procédure fédérale seront mis à la charge de la recourante.</w:t>
      </w:r>
    </w:p>
    <w:p>
      <w:r>
        <w:t>L'intimée Y.________, qui agit seule, n'a pas droit à des dépens. Il en va de même de la seconde intimée, Z.________ laquelle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