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4/2022 vom 10. Februar 2022</w:t>
      </w:r>
    </w:p>
    <w:p>
      <w:r>
        <w:t>Bundesgericht, 2022-02-10, DE</w:t>
      </w:r>
    </w:p>
    <w:p>
      <w:r>
        <w:rPr>
          <w:b/>
        </w:rPr>
        <w:t xml:space="preserve">Quelle: </w:t>
      </w:r>
      <w:r>
        <w:t>https://mcp.opencaselaw.ch/entscheid/bger_4A_4_2022</w:t>
      </w:r>
    </w:p>
    <w:p>
      <w:r>
        <w:t>FR: TF 4A 4/2022 du 10 février 2022</w:t>
      </w:r>
    </w:p>
    <w:p>
      <w:r>
        <w:t>IT: TF 4A 4/2022 del 10 febbraio 2022</w:t>
      </w:r>
    </w:p>
    <w:p>
      <w:pPr>
        <w:pStyle w:val="Heading2"/>
      </w:pPr>
      <w:r>
        <w:t>Regeste</w:t>
      </w:r>
    </w:p>
    <w:p>
      <w:r>
        <w:t>Forderung; unentgeltliche Rechtspflege, | Vertragsrecht</w:t>
      </w:r>
    </w:p>
    <w:p>
      <w:pPr>
        <w:pStyle w:val="Heading2"/>
      </w:pPr>
      <w:r>
        <w:t>Erwägungen</w:t>
      </w:r>
    </w:p>
    <w:p>
      <w:r>
        <w:rPr>
          <w:b/>
        </w:rPr>
        <w:t>E. 1</w:t>
      </w:r>
    </w:p>
    <w:p>
      <w:r>
        <w:t>Mit Verfügung vom 10. November 2021 bestätigte das Handelsgericht des Kantons Zürich in einem von den Beschwerdeführern gegen die Verfahrensbeteiligte angestrengten Forderungsstreit den Eingang der Klage vom 1. November 2021 und setzte den Beschwerdeführern Frist zur Leistung eines Kostenvorschusses von Fr. 25'000.-- an. Mit Eingabe vom 3. Dezember 2021 reichten die Beschwerdeführer dem Handelsgericht ein Gesuch um Bewilligung der unentgeltlichen Rechtspflege ein. Mit Urteil 4A_602/2021 vom 21. Dezember 2021 trat das Bundesgericht auf eine von den Beschwerdeführern gegen die handelsgerichtliche Verfügung vom 10. November 2021 erhobene Beschwerde nicht ein. Mit Beschluss vom 24. Dezember 2021 wies das Handelsgericht das Gesuch der Beschwerdeführer um Bewilligung der unentgeltlichen Rechtspflege ab und setzte ihnen eine einmalige Nachfrist zur Leistung des Kostenvorschusses an. Das Handelsgericht erwog, mangels (genügender) Mitwirkung der Beschwerdeführer sei ihre Mittellosigkeit nicht hinreichend dargetan. Mit Eingabe vom 5. Januar 2022 erklärte der Beschwerdeführer 1 dem Bundesgericht, gegen den Beschluss des Handelsgerichts des Kantons Zürich vom 24. Dezember 2021 Beschwerde zu erheben. Nachdem die Beschwerdeführerin 2 mit Schreiben vom 7. Januar 2022 auf den Unterschriftsmangel aufmerksam gemacht worden war, reichte sie dem Bundesgericht fristgerecht ein unterzeichnetes Exemplar der Beschwerdeschrift ein. 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 zeigen mit ihrer Beschwerdeeingabe vom 5. Januar 2022 nicht hinreichend auf, inwiefern die Vorinstanz mit dem Entscheid vom 24. Dezember 2021 Bundesrecht verletzt hätte. Stattdessen unterbreiten sie dem Bundesgericht in frei gehaltenen Ausführungen ihre Sicht der Dinge hinsichtlich ihrer angeblichen Mittellosigkeit, was im bundesgerichtlichen Verfahren nicht zulässig ist. Die Eingabe vom 5. Januar 2022 erfüllt damit die erwähnten Begründungsanforderungen offensichtlich nicht. Auf die Beschwerde ist somit mangels hinreichender Begründung nicht einzutreten ( Art. 108 Abs. 1 lit. b BGG ).</w:t>
      </w:r>
    </w:p>
    <w:p>
      <w:r>
        <w:rPr>
          <w:b/>
        </w:rPr>
        <w:t>E. 3</w:t>
      </w:r>
    </w:p>
    <w:p>
      <w:r>
        <w:t>Mit dem Entscheid in der Sache wird das Gesuch um Erteilung der aufschiebenden Wirkung gegenstandslos. Das Gesuch um unentgeltliche Rechtspflege für das bundesgerichtliche Verfahren ist bereits wegen Aussichtslosigkeit der Beschwerde abzuweisen ( Art. 64 Abs. 1 BGG ). Die Beschwerdeführer werden bei diesem Verfahrensausgang unter solidarischer Haftbarkeit kostenpflichtig ( Art. 66 Abs. 1 und 5 BGG ). Dem Beschwerdegegner und der Verfahrensbeteiligten stehen keine Parteientschädigungen zu ( Art. 68 Abs. 2 und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