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4A_4/2011 vom 20. Juli 2011</w:t>
      </w:r>
    </w:p>
    <w:p>
      <w:r>
        <w:t>Bundesgericht, 2011-07-20, IT</w:t>
      </w:r>
    </w:p>
    <w:p>
      <w:r>
        <w:rPr>
          <w:b/>
        </w:rPr>
        <w:t xml:space="preserve">Quelle: </w:t>
      </w:r>
      <w:r>
        <w:t>https://mcp.opencaselaw.ch/entscheid/bger_4A_4_2011</w:t>
      </w:r>
    </w:p>
    <w:p>
      <w:r>
        <w:t>FR: TF 4A_4/2011 du 20 juillet 2011</w:t>
      </w:r>
    </w:p>
    <w:p>
      <w:r>
        <w:t>IT: TF 4A_4/2011 del 20 luglio 2011</w:t>
      </w:r>
    </w:p>
    <w:p>
      <w:pPr>
        <w:pStyle w:val="Heading2"/>
      </w:pPr>
      <w:r>
        <w:t>Erwägungen</w:t>
      </w:r>
    </w:p>
    <w:p>
      <w:r>
        <w:rPr>
          <w:b/>
        </w:rPr>
        <w:t>E. 1</w:t>
      </w:r>
    </w:p>
    <w:p>
      <w:r>
        <w:t>Il Tribunale federale si pronuncia d'ufficio e con pieno potere d'esame sulla propria competenza e sull'ammissibilità del rimedio esperito ( art. 29 cpv. 1 LTF ; DTF 135 III 430 consid. 1).</w:t>
      </w:r>
    </w:p>
    <w:p>
      <w:r>
        <w:rPr>
          <w:b/>
        </w:rPr>
        <w:t>E. 1.1</w:t>
      </w:r>
    </w:p>
    <w:p>
      <w:r>
        <w:t>Il ricorso è presentato dalla parte soccombente nella sede cantonale ( art. 76 cpv. 1 lett. a LTF ), è tempestivo ( art. 100 cpv. 1 LTF ) ed è volto contro una sentenza emanata in una causa civile ( art. 72 cpv. 1 LTF ) dall'autorità giudiziaria ticinese di ultima istanza ( art. 75 cpv. 1 LTF ).</w:t>
      </w:r>
    </w:p>
    <w:p>
      <w:r>
        <w:rPr>
          <w:b/>
        </w:rPr>
        <w:t>E. 1.2</w:t>
      </w:r>
    </w:p>
    <w:p>
      <w:r>
        <w:t>La decisione impugnata è parziale, perché statuisce solo sulla prima delle due domande formulate dall'attrice. Il ricorso è nondimeno ammissibile, per le ragioni addotte dalla convenuta. In forza dell' art. 91 lett. a LTF può essere impugnata subito la sentenza che decide definitivamente una pretesa d'informazione o di rendiconto suscettibile di essere oggetto di un processo indipendente ( DTF 123 III 140 consid. 2; sentenza 4C.319/2003 del 27 gennaio 2004 consid. 1; cfr. DTF 135 III 319 consid. 1). Tale è la pretesa litigiosa, che il Tribunale d'appello ha fondato sull' art. 541 CO , oltre che sul contratto del 14/ 15 maggio 2001.</w:t>
      </w:r>
    </w:p>
    <w:p>
      <w:r>
        <w:rPr>
          <w:b/>
        </w:rPr>
        <w:t>E. 1.3</w:t>
      </w:r>
    </w:p>
    <w:p>
      <w:r>
        <w:t>L'azione ha carattere pecuniario ( DTF 126 III 445 consid. 3b; sentenza 4A_20/2008 del 9 giugno 2008 consid. 1.1). Essendo messa in relazione con pretese che l'attrice quantifica in almeno fr. 863'744.55, è raggiunto il valore-soglia dell' art. 74 cpv. 1 lett. b LTF .</w:t>
      </w:r>
    </w:p>
    <w:p>
      <w:r>
        <w:rPr>
          <w:b/>
        </w:rPr>
        <w:t>E. 2</w:t>
      </w:r>
    </w:p>
    <w:p>
      <w:r>
        <w:t>Il Tribunale federale esamina d'ufficio l'applicazione del diritto federale ( art. 106 cpv. 1 LTF ). Tuttavia, tenuto conto dell'onere di allegazione e motivazione posto dall' art. 42 cpv. 1 e 2 LTF , la cui mancata ottemperanza conduce all'inammissibilità del gravame ( art. 108 cpv. 1 lett. b LTF ), considera di regola solo gli argomenti proposti col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134 II 244 consid. 2.2, 130 I 258 consid. 1.3).</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(DTF 133 Il 249 consid. 1.2.2) - il ricorrente deve motivare la censura conformemente alle esigenze poste dall' art. 106 cpv. 2 LTF .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III 8 consid. 2.1).</w:t>
      </w:r>
    </w:p>
    <w:p>
      <w:r>
        <w:rPr>
          <w:b/>
        </w:rPr>
        <w:t>E. 3</w:t>
      </w:r>
    </w:p>
    <w:p>
      <w:r>
        <w:t>La Corte cantonale ha rinunciato a qualificare il contratto ritenendo che l'eccezione di nullità della convenzione proposta dalla convenuta sia da respingere anche volendo seguire la tesi della società semplice; soluzione che "comunque meglio si attaglia alla fattispecie concreta". Essa ha considerato che, sebbene la locazione dello stabile da parte dell'attrice alla C.________SA potesse essere recepita come atto di concorrenza lesivo dell'obbligo di fedeltà, gli obiettivi comuni tendenti al controllo e alla gestione del gioco d'azzardo nella Svizzera italiana erano rimasti immutati e la collaborazione era continuata con modalità differenti, influenzate in modo rilevante anche dalla Commissione federale delle case da gioco. A mente dei giudici ticinesi il comportamento dell'attrice non poteva pertanto essere interpretato come dichiarazione di rescindere il contratto, tanto più che essa ha sempre dichiarato espressamente di ritenere ancora vincolanti gli accordi stipulati. La convenzione del 14/15 maggio 2001 è perciò stata considerata fondamento valido della domanda d'informazione dell'attrice.</w:t>
      </w:r>
    </w:p>
    <w:p>
      <w:r>
        <w:t>La Corte ticinese ha in seguito negato che il diritto all'informazione potesse essere rifiutato per esercizio abusivo da parte dell'attrice o in seguito alla violazione del divieto di concorrenza dell' art. 536 CO . Infine essa ha escluso che la società semplice si fosse sciolta per motivi gravi, richiedendo in ogni caso l' art. 545 cpv. 2 CO l'intervento del giudice.</w:t>
      </w:r>
    </w:p>
    <w:p>
      <w:r>
        <w:rPr>
          <w:b/>
        </w:rPr>
        <w:t>E. 4</w:t>
      </w:r>
    </w:p>
    <w:p>
      <w:r>
        <w:t>La ricorrente ritiene che non si possa prescindere dalla qualificazione del contratto. Dopo una disquisizione sulla joint venture, passata a suo dire da equity a contractual con la firma dell'accordo del 14/15 maggio 2001, conclude tuttavia che i rapporti con l'attrice sono retti dalle norme sulla società semplice, in particolare dall' art. 545 cpv. 1 CO concernente lo scioglimento.</w:t>
      </w:r>
    </w:p>
    <w:p>
      <w:r>
        <w:t>L'adesione alla sentenza impugnata sul diritto applicabile rende superfluo approfondire la questione.</w:t>
      </w:r>
    </w:p>
    <w:p>
      <w:r>
        <w:rPr>
          <w:b/>
        </w:rPr>
        <w:t>E. 5</w:t>
      </w:r>
    </w:p>
    <w:p>
      <w:r>
        <w:t>Secondo la ricorrente tutte le pretese fondate sul contratto di società semplice sono da respingere. D'un canto essa asserisce che l'attrice non può pretendere l'adempimento del contratto perché è lei stessa inadempiente: ha presentato all'autorità federale una domanda di concessione chiaramente insufficiente e ha sottoscritto senza preventiva informazione il contratto di locazione con la società concorrente, prendendo quindi una decisione unilaterale contraria all' art. 534 CO , eseguendo da sola un atto di amministrazione in contrasto con l' art. 535 CO e violando il divieto di concorrenza dell' art. 536 CO . Dall'altro sostiene che l'attrice, sempre con la firma del contratto di locazione, ha dimostrato di non ritenere più raggiungibile lo scopo societario oppure di non volersi più attenere al contratto di società; non avendo lei reagito, perché la collaborazione era comunque cessata da tempo, il contratto sarebbe decaduto per consenso tacito.</w:t>
      </w:r>
    </w:p>
    <w:p>
      <w:r>
        <w:t>Infine la ricorrente rimprovera all'autorità cantonale di avere violato il diritto di essere sentita omettendo di esaminare l'eccezione di abuso di diritto fondata sull' art. 2 cpv. 2 CC proposta con il memoriale conclusivo; abuso che l'attrice commetterebbe nel pretendere il rispetto di "obblighi unilaterali" nonostante il comportamento contraddittorio consistente nell'avere presentato una domanda di concessione che mai sarebbe potuta essere accolta e permesso che negli spazi inizialmente previsti per sé s'istallasse la concorrente C.________SA.</w:t>
      </w:r>
    </w:p>
    <w:p>
      <w:r>
        <w:rPr>
          <w:b/>
        </w:rPr>
        <w:t>E. 6</w:t>
      </w:r>
    </w:p>
    <w:p>
      <w:r>
        <w:t>La ricorrente medesima fornisce la spiegazione che invalida gli argomenti incentrati sull'inadempimento dell'attrice. Afferma infatti, menzionando DTF 116 III 70 , che la giurisprudenza non consente di applicare l' art. 82 CO ai contratti societari. In quella sentenza (consid. 3) il Tribunale federale aveva analizzato a fondo la questione, costatando che la dottrina quasi unanime ritiene che l'eccezione d'inadempimento non possa di principio essere invocata nell'ambito dei contratti societari (la conclusione che ne aveva tratto era però circoscritta all'arbitrio). Il vago accenno agli elementi sinallagmatici dei rapporti contrattuali delle parti non scalfisce questa giurisprudenza, che la convenuta non pone del resto in discussione. Essa non si confronta nemmeno con la motivazione della sentenza impugnata, secondo la quale la violazione dell'obbligo di concorrenza, o di fedeltà, non sopprime il diritto all'informazione del socio ma, al pari di altre inadempienze, gli dà la facoltà di chiedere la cessazione della lesione e il risarcimento del danno.</w:t>
      </w:r>
    </w:p>
    <w:p>
      <w:r>
        <w:t>Quanto alla decadenza del contratto per atti concludenti o consenso tacito, le argomentazioni della convenuta - dedotte essenzialmente dalla portata ch'essa attribuisce al contratto di locazione e all'assenza di reazione da parte sua - si scontrano con gli accertamenti di fatto dei giudici cantonali. Nella sentenza si legge infatti che le parti hanno continuato a collaborare nonostante la locazione dello stabile alla società concorrente e che l'attrice "ha sempre esplicitamente dichiarato di ritenere ancora vincolanti gli accordi a suo tempo stipulati" (consid. 10 in fine). Qua e là la ricorrente sembra contestare questi accertamenti, ma la sua motivazione è lungi dal sostanziare l'arbitrio (supra consid. 2). Sulla base di questi fatti non è certamente lesivo del diritto federale concludere che il contratto non è stato rescisso per atti concludenti e concordi.</w:t>
      </w:r>
    </w:p>
    <w:p>
      <w:r>
        <w:rPr>
          <w:b/>
        </w:rPr>
        <w:t>E. 7</w:t>
      </w:r>
    </w:p>
    <w:p>
      <w:r>
        <w:t>Rimane da esaminare la censura di violazione del diritto di essere sentiti. Dal momento che la ricorrente non invoca disposizioni della procedura cantonale, l'esame va limitato all' art. 29 cpv. 2 Cost.</w:t>
      </w:r>
    </w:p>
    <w:p>
      <w:r>
        <w:rPr>
          <w:b/>
        </w:rPr>
        <w:t>E. 7.1</w:t>
      </w:r>
    </w:p>
    <w:p>
      <w:r>
        <w:t>La norma costituzionale offre una garanzia minima e sussidiaria rispetto al diritto processuale cantonale. Esige che l'autorità giudicante indichi le considerazioni che l'hanno portata a decidere in un senso piuttosto che in un altro in modo tale da permettere al destinatario di capire la portata della decisione e di proporre i rimedi adeguati con conoscenza di causa. Il grado di approfondimento della motivazione dipende dalla natura della pratica e dalle circostanze particolari del caso. Il giudice non deve necessariamente pronunciarsi su tutte le questioni e le prove che le parti propongono; è sufficiente che tratti i temi rilevanti per il giudizio ( DTF 133 III 439 consid. 3.3 pag. 445 e rif.). Il Tribunale federale esamina liberamente se questi requisiti sono adempiuti ( DTF 124 I 49 consid. 3a pag. 51).</w:t>
      </w:r>
    </w:p>
    <w:p>
      <w:r>
        <w:rPr>
          <w:b/>
        </w:rPr>
        <w:t>E. 7.2</w:t>
      </w:r>
    </w:p>
    <w:p>
      <w:r>
        <w:t>La motivazione della sentenza cantonale, riassunta al considerando 3, adempie questi requisiti: spiega in modo chiaro le ragioni per le quali l'azione parziale dell'attrice è stata accolta e dà alla convenuta gli elementi necessari per impugnarla. Al considerando 11 affronta anche il tema dell'abuso nell'esercizio dei diritti istituiti dall' art. 541 CO ; osserva che, visto il carattere irrinunciabile di tali diritti, l'abuso va ammesso solo in casi eccezionali, quando un socio si prevale dell' art. 541 CO non per informarsi ma per nuocere alla società, ipotesi che nel caso in esame non si verifica né è stata addotta.</w:t>
      </w:r>
    </w:p>
    <w:p>
      <w:r>
        <w:t>In altre parole, l'autorità cantonale ha ritenuto che nell'ambito dell'esercizio dei diritti all'informazione dell' art. 541 CO l'eccezione di abuso è limitata a circostanze che la convenuta non ha fatto valere. Tale motivazione - giusta o sbagliata che sia (la ricorrente non la critica) - è sufficiente sotto il profilo della garanzia minima dell' art. 29 cpv. 2 Cost.</w:t>
      </w:r>
    </w:p>
    <w:p>
      <w:r>
        <w:rPr>
          <w:b/>
        </w:rPr>
        <w:t>E. 8</w:t>
      </w:r>
    </w:p>
    <w:p>
      <w:r>
        <w:t>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