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4A_4/2010 vom 10. März 2010</w:t>
      </w:r>
    </w:p>
    <w:p>
      <w:r>
        <w:t>Bundesgericht, 2010-03-10, IT</w:t>
      </w:r>
    </w:p>
    <w:p>
      <w:r>
        <w:rPr>
          <w:b/>
        </w:rPr>
        <w:t xml:space="preserve">Quelle: </w:t>
      </w:r>
      <w:r>
        <w:t>https://mcp.opencaselaw.ch/entscheid/bger_4A_4_2010</w:t>
      </w:r>
    </w:p>
    <w:p>
      <w:r>
        <w:t>FR: TF 4A_4/2010 du 10 mars 2010</w:t>
      </w:r>
    </w:p>
    <w:p>
      <w:r>
        <w:t>IT: TF 4A_4/2010 del 10 marzo 2010</w:t>
      </w:r>
    </w:p>
    <w:p>
      <w:pPr>
        <w:pStyle w:val="Heading2"/>
      </w:pPr>
      <w:r>
        <w:t>Erwägungen</w:t>
      </w:r>
    </w:p>
    <w:p>
      <w:r>
        <w:rPr>
          <w:b/>
        </w:rPr>
        <w:t>E. 1</w:t>
      </w:r>
    </w:p>
    <w:p>
      <w:r>
        <w:t>Giusta l' art. 54 cpv. 1 LTF la sentenza del Tribunale federale è redatta in una lingua ufficiale, di regola in quella della decisione impugnata. Qualora tale decisione sia redatta in un'altra lingua, il Tribunale federale fa capo alla lingua ufficiale scelta dalle parti. In concreto, dinanzi al TAS esse avevano optato per lo spagnolo, mentre il ricorso in materia civile è scritto in italiano. Conformemente alla sua prassi, in una simile evenienza il Tribunale federale adotta la lingua dell'allegato ricorsuale e rende il suo giudizio in italiano.</w:t>
      </w:r>
    </w:p>
    <w:p>
      <w:r>
        <w:rPr>
          <w:b/>
        </w:rPr>
        <w:t>E. 2</w:t>
      </w:r>
    </w:p>
    <w:p>
      <w:r>
        <w:t>Nell'ambito della giurisdizione arbitrale internazionale, il ricorso in materia civile contro lodi arbitrali è proponibile alle condizioni di cui agli art. 190-192 LDIP ( art. 77 cpv. 1 LTF ). L'ammissibilità del ricorso in rassegna non pone nessun problema, né sotto il profilo della natura dell'atto impugnato né sotto quello della legittimazione ricorsuale, del termine di ricorso, delle conclusioni ricorsuali o, ancora, della motivazione. Nulla osta pertanto al suo esame nel merito.</w:t>
      </w:r>
    </w:p>
    <w:p>
      <w:r>
        <w:rPr>
          <w:b/>
        </w:rPr>
        <w:t>E. 3</w:t>
      </w:r>
    </w:p>
    <w:p>
      <w:r>
        <w:t>In un'unica censura, fondata sull'art. 190 cpv. 2 lett. e LDIP, il ricorrente rimprovera al TAS di aver pronunciato un lodo incompatibile con l'ordine pubblico; in particolare si duole della violazione del principio pacta sunt servanda e delle regole della buona fede.</w:t>
      </w:r>
    </w:p>
    <w:p>
      <w:r>
        <w:rPr>
          <w:b/>
        </w:rPr>
        <w:t>E. 3.1</w:t>
      </w:r>
    </w:p>
    <w:p>
      <w:r>
        <w:t>Il riesame nel merito di un lodo internazionale da parte del Tribunale federale è limitato alla questione della sua compatibilità con l'ordine pubblico ( DTF 121 III 331 consid. 3a).</w:t>
      </w:r>
    </w:p>
    <w:p>
      <w:r>
        <w:t>Una decisione risulta incompatibile con l'ordine pubblico quando - e ciò sia nella motivazione che nell'esito - misconosce quei valori essenziali e largamente riconosciuti che, secondo la concezione predominante in Svizzera, dovrebbero costituire il fondamento di ogni ordinamento giuridico ( DTF 132 III 389 consid. 2.2.3 pag. 395). La nozione di ordine pubblico è più restrittiva di quella di arbitrio (DTF citata consid. 2.2.2 pag. 393). Per ammettere l'incompatibilità di una decisione con l'ordine pubblico non basta un apprezzamento delle prove sbagliato, un accertamento di fatto manifestamente errato o la chiara violazione di una norma di diritto applicabile (sentenza 4P.253/2004 dell'8 aprile 2005 consid. 3.1). Una decisione è contraria all'ordine pubblico materiale quando viola principi fondamentali del diritto applicabile nel merito, al punto da non risultare più conciliabile con l'ordinamento giuridico e il sistema di valori determinanti; fra i principi tutelati dall'ordine pubblico vi sono la lealtà contrattuale (pacta sunt servanda) e il rispetto delle regole della buona fede (4P.71/2002 del 22 ottobre 2002 consid. 3.2 con rinvii).</w:t>
      </w:r>
    </w:p>
    <w:p>
      <w:r>
        <w:t>Il principio pacta sunt servanda, nel senso restrittivo attribuitogli dalla giurisprudenza relativa all'art. 190 cpv. 2 lett. e LDIP, è violato solamente qualora l'arbitro rifiuti di applicare una clausola contrattuale dopo averne ammesso il carattere vincolante, oppure, al contrario, qualora imponga alle parti il rispetto di una clausola che ha dichiarato inapplicabile. In altre parole, l'autorità arbitrale deve aver applicato o rifiutato di applicare una disposizione contrattuale ponendosi in contraddizione con il risultato della propria interpretazione in merito all'esistenza e/o al contenuto dell'atto giuridico litigioso. Né il processo d'interpretazione delle pattuizioni contrattuali né il suo risultato rientrano, per contro, nel campo di applicazione del principio della lealtà contrattuale - e, quindi, dell'art. 190 cpv. 2 lett. e LDIP - di modo ch'essi sfuggono all'esame del Tribunale federale. È già stato d'altro canto evidenziato a più riprese che la quasi totalità del contenzioso fondato sulla violazione del contratto è esclusa dal campo di protezione del principio pacta sunt servanda (sentenza 4A_370/2007 del 21 febbraio 2008 consid. 5.5).</w:t>
      </w:r>
    </w:p>
    <w:p>
      <w:r>
        <w:t>Le regole della buona fede vanno intese nel senso attribuito loro dalla giurisprudenza relativa all' art. 2 CC (sentenza 4A_600/2008 del 20 febbraio 2009 consid. 4.1).</w:t>
      </w:r>
    </w:p>
    <w:p>
      <w:r>
        <w:rPr>
          <w:b/>
        </w:rPr>
        <w:t>E. 3.2</w:t>
      </w:r>
    </w:p>
    <w:p>
      <w:r>
        <w:t>In concreto, il ricorrente invoca essenzialmente la violazione del principio della buona fede incorporato nell' art. 6 CO . Egli rimprovera al TAS di avere escluso lapidariamente l'applicazione di questa norma, seppur citata nella decisione impugnata, senza averne esaminato le condizioni di applicazione. A suo modo di vedere, un simile esame avrebbe inevitabilmente condotto il TAS a concludere che le regole della buona fede imponevano all'opponente di rifiutare esplicitamente la sua offerta del 2 novembre 2005, se questa era la sua intenzione. Omettendo di procedere in tal senso il TAS avrebbe consacrato l'abuso di diritto commesso dal club uruguaiano, che ha permesso a quest'ultimo non solo di esigere il pagamento della totalità dell'indennità di trasferimento ma pure di reingaggiare il calciatore brasiliano senza sborsare un centesimo.</w:t>
      </w:r>
    </w:p>
    <w:p>
      <w:r>
        <w:t>Ora, pur dichiarando il contrario, il ricorrente non fa altro che criticare l'applicazione di una norma di diritto, segnatamente dell' art. 6 CO . Come già esposto, nel quadro di un ricorso rivolto contro un lodo internazionale una simile censura è destinata all'insuccesso. Dal tenore dell'atto impugnato emerge comunque che il TAS si è confrontato con tutti gli argomenti addotti dalle parti a questo riguardo; semplicemente, dalle circostanze evocate dal ricorrente il tribunale arbitrale ha tratto conclusioni giuridiche diverse da quelle da lui proposte e condivise dal Giudice unico.</w:t>
      </w:r>
    </w:p>
    <w:p>
      <w:r>
        <w:t>Detto questo, posto che il TAS - sulla base di un ragionamento giuridico che sfugge all'esame del Tribunale federale - ha ammesso che le parti sono rimaste vincolate al contratto iniziale sottoscritto il 24 giugno 2005, non si vede come potrebbe aver violato le regole della buona fede permettendo a uno dei contraenti di far valere contro l'altro pretese fondate su di un contratto in vigore.</w:t>
      </w:r>
    </w:p>
    <w:p>
      <w:r>
        <w:t>Nella misura in cui è ricevibile, la censura si rivela pertanto infondata.</w:t>
      </w:r>
    </w:p>
    <w:p>
      <w:r>
        <w:rPr>
          <w:b/>
        </w:rPr>
        <w:t>E. 3.3</w:t>
      </w:r>
    </w:p>
    <w:p>
      <w:r>
        <w:t>Lo stesso vale per quella relativa all'asserita violazione del principio pacta sunt servanda. In effetti, alla fine dell'esame delle questioni litigiose, il TAS, considerato che l'opponente poteva ancora legittimamente vantare delle pretese nei confronti del ricorrente in forza del contratto di trasferimento, ha ordinato al debitore di adempiere le obbligazioni assunte contrattualmente. Così facendo, ha pronunciato un giudizio conforme alla sua interpretazione, senza misconoscere in nessun modo il principio della lealtà contrattuale.</w:t>
      </w:r>
    </w:p>
    <w:p>
      <w:r>
        <w:rPr>
          <w:b/>
        </w:rPr>
        <w:t>E. 4</w:t>
      </w:r>
    </w:p>
    <w:p>
      <w:r>
        <w:t>In conclusione, il ricorso dev'essere respinto.</w:t>
      </w:r>
    </w:p>
    <w:p>
      <w:r>
        <w:t>Le spese giudiziarie seguono la soccombenza ( art. 66 cpv. 1 LTF ). All'opponente, nemmeno invitato a determinarsi sul gravame, non spetta nessuna indennità per ripetibili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