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4A_499/2023 vom 1. November 2023</w:t>
      </w:r>
    </w:p>
    <w:p>
      <w:r>
        <w:t>Bundesgericht, 2023-11-01, DE</w:t>
      </w:r>
    </w:p>
    <w:p>
      <w:r>
        <w:rPr>
          <w:b/>
        </w:rPr>
        <w:t xml:space="preserve">Quelle: </w:t>
      </w:r>
      <w:r>
        <w:t>https://mcp.opencaselaw.ch/entscheid/bger_4A_499_2023</w:t>
      </w:r>
    </w:p>
    <w:p>
      <w:r>
        <w:t>FR: TF 4A_499/2023 du 1 novembre 2023</w:t>
      </w:r>
    </w:p>
    <w:p>
      <w:r>
        <w:t>IT: TF 4A_499/2023 del 1 novembre 2023</w:t>
      </w:r>
    </w:p>
    <w:p>
      <w:pPr>
        <w:pStyle w:val="Heading2"/>
      </w:pPr>
      <w:r>
        <w:t>Erwägungen</w:t>
      </w:r>
    </w:p>
    <w:p>
      <w:r>
        <w:rPr>
          <w:b/>
        </w:rPr>
        <w:t>E. 1</w:t>
      </w:r>
    </w:p>
    <w:p>
      <w:r>
        <w:t>Mit Entscheid vom 2. Juni 2023 trat das Regionalgericht Bern-Mittelland mangels Bezahlung des Gerichtskostenvorschusses auf eine vom Beschwerdeführer gegen den Beschwerdegegner erhobene Klage nicht ein.</w:t>
      </w:r>
    </w:p>
    <w:p>
      <w:r>
        <w:t>Mit Entscheid vom 6. September 2023 trat das Obergericht des Kantons Bern auf die vom Beschwerdeführer gegen diesen Entscheid erhobene Berufung infolge unzureichender Begründung der Rechtsmitteleingabe nicht ein.</w:t>
      </w:r>
    </w:p>
    <w:p>
      <w:r>
        <w:t>Mit Eingabe vom 5. Oktober 2023 erklärte der Beschwerdeführer dem Bundesgericht sinngemäss, den Entscheid des Obergerichts des Kantons Bern vom 6. September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5. Oktober 2023 nicht hinreichend mit den Erwägungen des angefochtenen Entscheids des Obergerichts des Kantons Bern vom 6. September 2023 auseinander und zeigt nicht rechtsgenügend auf, inwiefern die Vorinstanz mit ihrem Nichteintretensentscheid Bundesrecht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