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4A_499/2021 vom 24. Januar 2022</w:t>
      </w:r>
    </w:p>
    <w:p>
      <w:r>
        <w:t>Bundesgericht, 2022-01-24, DE</w:t>
      </w:r>
    </w:p>
    <w:p>
      <w:r>
        <w:rPr>
          <w:b/>
        </w:rPr>
        <w:t xml:space="preserve">Quelle: </w:t>
      </w:r>
      <w:r>
        <w:t>https://mcp.opencaselaw.ch/entscheid/bger_4A_499_2021</w:t>
      </w:r>
    </w:p>
    <w:p>
      <w:r>
        <w:t>FR: TF 4A_499/2021 du 24 janvier 2022</w:t>
      </w:r>
    </w:p>
    <w:p>
      <w:r>
        <w:t>IT: TF 4A_499/2021 del 24 gennaio 2022</w:t>
      </w:r>
    </w:p>
    <w:p>
      <w:pPr>
        <w:pStyle w:val="Heading2"/>
      </w:pPr>
      <w:r>
        <w:t>Erwägungen</w:t>
      </w:r>
    </w:p>
    <w:p>
      <w:r>
        <w:rPr>
          <w:b/>
        </w:rPr>
        <w:t>E. 1</w:t>
      </w:r>
    </w:p>
    <w:p>
      <w:r>
        <w:t>Der angefochtene Entscheid des Appellationsgerichts ist ein Endentscheid ( Art. 90 BGG ) einer Vorinstanz im Sinne von Art. 75 BGG .</w:t>
      </w:r>
    </w:p>
    <w:p>
      <w:r>
        <w:rPr>
          <w:b/>
        </w:rPr>
        <w:t>E. 2.1</w:t>
      </w:r>
    </w:p>
    <w:p>
      <w:r>
        <w:t>Der Streitwert bestimmt sich nach den Begehren, die vor der Vorinstanz streitig geblieben waren ( Art. 51 Abs. 1 lit. a BGG ).</w:t>
      </w:r>
    </w:p>
    <w:p>
      <w:r>
        <w:t>Das Zivilgericht verurteilte den Beschwerdeführer erstinstanzlich zur Zahlung von Fr. 24'344.85 und wies die Klage im Übrigen ab. Der Beschwerdeführer verlangte mit Berufung die Abweisung der Klage (auch) im Umfang von Fr. 24'344.85 zufolge Verrechnung. Der Beschwerdegegner beantragte in der Berufungsantwort die Abweisung der Berufung und die Bestätigung des erstinstanzlichen Entscheids. Damit waren im vorinstanzlichen Verfahren - so auch nach den Feststellungen des Appellationsgerichts - Fr. 24'344.85 strittig.</w:t>
      </w:r>
    </w:p>
    <w:p>
      <w:r>
        <w:t>Der Beschwerdeführer beruft sich auf einen "bedingte[n] Vergleich", den er mit dem Beschwerdegegner während des erstinstanzlichen Verfahrens abgeschlossen habe. Er behauptet, sich darin für den Fall, dass "die Klage nicht abgewiesen würde", die Rückforderung von Fr. 15'000.-- vorbehalten zu haben. Der "effektive Streitwert" sei dementsprechend höher. Indes fallen Vorbehalte bei der Bestimmung des Streitwerts nicht in Betracht ( Art. 51 Abs. 3 BGG ) und war der vom Beschwerdeführer ins Feld geführte Vorbehalt denn auch nicht Gegenstand des Verfahrens vor Appellationsgericht, wie dieses ausdrücklich festgestellt hat.</w:t>
      </w:r>
    </w:p>
    <w:p>
      <w:r>
        <w:rPr>
          <w:b/>
        </w:rPr>
        <w:t>E. 2.2</w:t>
      </w:r>
    </w:p>
    <w:p>
      <w:r>
        <w:t>Der Streitwert erreicht die Grenze von Fr. 30'000.-- gemäss Art. 74 Abs. 1 lit. b BGG somit nicht. Unter diesen Umständen ist die Beschwerde in Zivilsachen nach Art. 74 Abs. 2 lit. a BGG dennoch zulässig, wenn sich eine Rechtsfrage von grundsätzlicher Bedeutung stellt. Der Beschwerdeführer macht geltend, dies sei der Fall.</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Ist eine Beschwerde nur unter der Voraussetzung zulässig, dass sich eine Rechtsfrage von grundsätzlicher Bedeutung stellt, so ist in der Beschwerde auszuführen, warum diese Voraussetzung erfüllt ist ( Art. 42 Abs. 2 Satz 2 BGG ).</w:t>
      </w:r>
    </w:p>
    <w:p>
      <w:r>
        <w:t>Der Beschwerdeführer wirft der Vorinstanz eine "Bundesrechtswidrige Anwendung des Vertrauensprinzips" sowie eine "Bundesrechtswidrige Auslegung der Mängelrüge bei Planungs- und Werkmängel[n]" vor. Er schildert seine Sicht der Dinge und schliesst, die vorinstanzliche Auslegung der streitgegenständlichen Willenserklärungen sei "unsinnig". In der Beschwerde wird dagegen nicht ansatzweise auf Art. 74 Abs. 2 lit. a BGG und die zu dieser Bestimmung entwickelten Voraussetzungen Bezug genommen. Der Beschwerdeführer macht nicht geltend, hinsichtlich der von ihm aufgeworfenen "Fragen" bestünde eine erhebliche Rechtsunsicherheit, noch tut er dar, inwiefern sie höchstrichterlicher Klärung bedürften. In der Beschwerde wird namentlich nicht ausgeführt, in welcher Hinsicht ein Rechtsproblem kontrovers sein soll, geschweige denn ist erkennbar, inwiefern eine Rechtsfrage geklärt werden soll, die über die Anwendung von Grundsätzen der Rechtsprechung auf den konkreten Fall hinausgeht. Die Ausführungen genügen den Begründungsanforderungen von Art. 42 Abs. 2 Satz 2 BGG offensichtlich nicht.</w:t>
      </w:r>
    </w:p>
    <w:p>
      <w:r>
        <w:rPr>
          <w:b/>
        </w:rPr>
        <w:t>E. 2.3</w:t>
      </w:r>
    </w:p>
    <w:p>
      <w:r>
        <w:t>Die Beschwerde in Zivilsachen ist nicht zulässig. Es ist nicht darauf einzutreten.</w:t>
      </w:r>
    </w:p>
    <w:p>
      <w:r>
        <w:rPr>
          <w:b/>
        </w:rPr>
        <w:t>E. 3.1</w:t>
      </w:r>
    </w:p>
    <w:p>
      <w:r>
        <w:t>Folglich steht die vom Beschwerdeführer ebenfalls erhobene subsidiäre Verfassungsbeschwerde im Sinne der Art. 113-119 BGG offen.</w:t>
      </w:r>
    </w:p>
    <w:p>
      <w:r>
        <w:rPr>
          <w:b/>
        </w:rPr>
        <w:t>E. 3.2</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t>Allgemein gehaltener Tadel ist folglich nicht zu hören. Dies gilt etwa für den in der Beschwerde formulierten Vorwurf, der Beschwerdegegner verhalte sich "insgesamt stossend und rechtsmissbräuchlich," und gleichermassen für die Kritik, die Vorinstanz habe nach dem Rückweisungsentscheid in Verletzung des Anspruchs auf rechtliches Gehör "keinerlei Verfahrensschritte" mehr unternommen.</w:t>
      </w:r>
    </w:p>
    <w:p>
      <w:r>
        <w:rPr>
          <w:b/>
        </w:rPr>
        <w:t>E. 3.3</w:t>
      </w:r>
    </w:p>
    <w:p>
      <w:r>
        <w:t>Der Beschwerdeführer rügt eine Verletzung seines Anspruchs auf ein unabhängiges und unparteiisches Gericht ( Art. 30 Abs. 1 BV ).</w:t>
      </w:r>
    </w:p>
    <w:p>
      <w:r>
        <w:rPr>
          <w:b/>
        </w:rPr>
        <w:t>E. 3.3.1</w:t>
      </w:r>
    </w:p>
    <w:p>
      <w:r>
        <w:t>Er moniert zunächst, dass "sowohl die erste Instanz als auch die Appellationsinstanz in beiden Entscheiden in gleicher Besetzung entschieden". Er bemängelt mit anderen Worten, dass sich nach der Rückweisung jene Zivil- und Appellationsrichter (ein zweites Mal) mit der Sache befassten, die bereits an den ersten Entscheiden beteiligt gewesen waren. Dieser Umstand als solcher ist indes nicht zu beanstanden (statt vieler: BGE 131 I 113 E. 3.6 S. 120; Urteile 4A_524/2019 vom 4. März 2020 E. 3.2; 5A_203/2017 vom 11. September 2017 E. 3).</w:t>
      </w:r>
    </w:p>
    <w:p>
      <w:r>
        <w:rPr>
          <w:b/>
        </w:rPr>
        <w:t>E. 3.3.2</w:t>
      </w:r>
    </w:p>
    <w:p>
      <w:r>
        <w:t>Sodann wendet er sich im Besonderen gegen die Zusammensetzung des erstinstanzlichen Spruchkörpers. Er kritisiert die "Basler Besonderheit", wonach der Präsident der ersten Instanz auch als Schlichter amte, und weiter, dass sich das Zivilgericht im zweiten Urteil nicht an die Erwägungen im Rückweisungsentscheid gehalten und überdies das rechtliche Gehör nur unzureichend gewährt habe. All dies erwecke "Zweifel an der Unparteilichkeit" der erstinstanzlichen Gerichtspersonen.</w:t>
      </w:r>
    </w:p>
    <w:p>
      <w:r>
        <w:t>Der Beschwerdeführer übergeht, dass der Entscheid des Zivilgerichts kein zulässiges Anfechtungsobjekt der Beschwerde an das Bundesgericht ist (vgl. Art. 75 Abs. 1 BGG ). Er hat es unterlassen, diese Rügen bereits im Berufungsverfahren vorzutragen. Dabei hat es sein Bewenden (vgl. BGE 143 III 290 E. 1.1).</w:t>
      </w:r>
    </w:p>
    <w:p>
      <w:r>
        <w:rPr>
          <w:b/>
        </w:rPr>
        <w:t>E. 3.3.3</w:t>
      </w:r>
    </w:p>
    <w:p>
      <w:r>
        <w:t>Dem Appellationsgericht wirft er vor, in den beiden Berufungsurteilen "widersprüchlich" entschieden zu haben. Das "ganze Verfahren [erwecke] den Eindruck, dass die Honorarforderung gutgeheissen werden soll, egal mit welcher Begründung und obwohl ein Schaden feststeht, der die Honorarforderung bei weitem überschreitet". Diese Kritik ist nicht geeignet, einen Befangenheitsgrund im Sinne von Art. 30 Abs. 1 BV aufzuzeigen.</w:t>
      </w:r>
    </w:p>
    <w:p>
      <w:r>
        <w:rPr>
          <w:b/>
        </w:rPr>
        <w:t>E. 3.4</w:t>
      </w:r>
    </w:p>
    <w:p>
      <w:r>
        <w:t>Der Beschwerdeführer erhebt sodann in inhaltlicher Hinsicht verschiedene Beanstandungen.</w:t>
      </w:r>
    </w:p>
    <w:p>
      <w:r>
        <w:rPr>
          <w:b/>
        </w:rPr>
        <w:t>E. 3.4.1</w:t>
      </w:r>
    </w:p>
    <w:p>
      <w:r>
        <w:t>Dazu ist festzuhalten, dass der angefochtene Entscheid auf einem dreifach begründeten Fundament steht: Das Appellationsgericht kam zum Ergebnis, dass (i) das "Planwerk" mangels wirksamer Planmängelrüge vom Beschwerdeführer genehmigt worden sei, dieser (ii) den Bestand des Mangelfolgeschadens nicht schlüssig dargetan habe und es (iii) am Kausalzusammenhang mangle (siehe Sachverhalt Bst. B.d). Aus diesen Gründen könne die behauptete Schadenersatzforderung des Beschwerdeführers nicht zur Verrechnung gebracht werden.</w:t>
      </w:r>
    </w:p>
    <w:p>
      <w:r>
        <w:t>Der Beschwerdeführer müsste alle drei (Eventual-) Begründungen, die je für sich allein das Urteil stützen, als verfassungswidrig ausweisen, um die Klagegutheissung zu Fall zu bringen.</w:t>
      </w:r>
    </w:p>
    <w:p>
      <w:r>
        <w:rPr>
          <w:b/>
        </w:rPr>
        <w:t>E. 3.4.2</w:t>
      </w:r>
    </w:p>
    <w:p>
      <w:r>
        <w:t>Dies gelingt ihm jedenfalls hinsichtlich der Begründungen (ii) und (iii) nicht:</w:t>
      </w:r>
    </w:p>
    <w:p>
      <w:r>
        <w:t>Er greift diese Erwägungen zwar in Ziffer III.3 seiner Beschwerde (zumindest der Form nach) an (Rz. 56-61), führt aber (unter Hinweis auf Art. 120 OR ) einzig aus, dass die Verrechnungseinrede "auf einer Offerte [beruhe], die ins Recht gelegt wurde und anlässlich der Hauptverhandlung im ersten Prozess durch die effektiven Rechnungen belegt wurde". Die "Existenz" der zur Verrechnung gebrachten Forderung sei "damit" erstellt. Ohnehin gehe es bei der Substanziierung von Forderungen aus Schadenersatz "nur darum, diesen durch Rechnungen soweit zu belegen, dass die Höhe der Gegenforderung erfasst ist". "Als Fazit" könne festgehalten werden, dass die Vorinstanzen "unlogisch" entschieden hätten.</w:t>
      </w:r>
    </w:p>
    <w:p>
      <w:r>
        <w:t>Eine hinreichend begründete Verfassungsrüge stellt dies nicht dar. Dass der Beschwerdeführer die Kritik unter den Titel "Aktenwidrigkeit, Verletzung des rechtlichen Gehörs" stellt, ändert daran nichts.</w:t>
      </w:r>
    </w:p>
    <w:p>
      <w:r>
        <w:rPr>
          <w:b/>
        </w:rPr>
        <w:t>E. 3.5</w:t>
      </w:r>
    </w:p>
    <w:p>
      <w:r>
        <w:t>Die subsidiäre Verfassungsbeschwerde ist abzuweisen, soweit darauf eingetreten werden kann.</w:t>
      </w:r>
    </w:p>
    <w:p>
      <w:r>
        <w:rPr>
          <w:b/>
        </w:rPr>
        <w:t>E. 4</w:t>
      </w:r>
    </w:p>
    <w:p>
      <w:r>
        <w:t>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