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4A_499/2010 vom 9. November 2010</w:t>
      </w:r>
    </w:p>
    <w:p>
      <w:r>
        <w:t>Bundesgericht, 2010-11-09, DE</w:t>
      </w:r>
    </w:p>
    <w:p>
      <w:r>
        <w:rPr>
          <w:b/>
        </w:rPr>
        <w:t xml:space="preserve">Quelle: </w:t>
      </w:r>
      <w:r>
        <w:t>https://mcp.opencaselaw.ch/entscheid/bger_4A_499_2010</w:t>
      </w:r>
    </w:p>
    <w:p>
      <w:r>
        <w:t>FR: TF 4A_499/2010 du 9 novembre 2010</w:t>
      </w:r>
    </w:p>
    <w:p>
      <w:r>
        <w:t>IT: TF 4A_499/2010 del 9 novembre 2010</w:t>
      </w:r>
    </w:p>
    <w:p>
      <w:pPr>
        <w:pStyle w:val="Heading2"/>
      </w:pPr>
      <w:r>
        <w:t>Erwägungen</w:t>
      </w:r>
    </w:p>
    <w:p>
      <w:r>
        <w:rPr>
          <w:b/>
        </w:rPr>
        <w:t>E. 1.1</w:t>
      </w:r>
    </w:p>
    <w:p>
      <w:r>
        <w:t>Die Beschwerde wurde unter Einhaltung der gesetzlichen Frist ( Art. 100 Abs. 1 BGG ) und Form ( Art. 42 BGG ) von der mit ihren Anträgen unterlegenen Partei ( Art. 76 Abs. 1 BGG ) eingereicht. Der gemäss Art. 74 Abs. 1 lit. b BGG erforderliche Streitwert von Fr. 30'000.-- wird erreicht.</w:t>
      </w:r>
    </w:p>
    <w:p>
      <w:r>
        <w:rPr>
          <w:b/>
        </w:rPr>
        <w:t>E. 1.2</w:t>
      </w:r>
    </w:p>
    <w:p>
      <w:r>
        <w:t>Weiter setzt die Beschwerde in Zivilsachen voraus, dass das angefochtene Urteil letztinstanzlich ist ( Art. 75 Abs. 1 BGG ). Gegen das Urteil des Handelsgerichts hätte der Beschwerdeführer kantonale Nichtigkeitsbeschwerde an das Kassationsgericht des Kantons Zürich nach § 281 ZPO /ZH erheben können, was er unterliess. Das Urteil des Handelsgericht ist daher insoweit nicht kantonal letztinstanzlich, als es vom Kassationsgericht hätte überprüft werden können. Dies trifft auf Rügen der Verletzung von Art. 8, 9, 29 oder 30 BV oder von Art. 6 EMRK zu ( § 285 Abs. 2 ZPO /ZH; vgl. dazu BGE 133 III 585 E. 3.2 S. 586 f. mit Hinweisen). Die Letztinstanzlichkeit des angefochtenen Urteils ist daher bezüglich der Rüge der willkürlichen Anwendung kantonalen Rechts ( Art. 9 BV ) nicht gegeben, weshalb auf solche Rügen nicht eingetreten werden kann. Bezüglich der Rüge der Verletzung von Bundeszivilrecht ist das Urteil des Handelsgerichts dagegen ein letztinstanzlicher Entscheid (vgl. Urteil 4A_398/2008 vom 18. Dezember 2008, E. 1.2.2). Insoweit ist auf die Beschwerde einzutreten.</w:t>
      </w:r>
    </w:p>
    <w:p>
      <w:r>
        <w:rPr>
          <w:b/>
        </w:rPr>
        <w:t>E. 2</w:t>
      </w:r>
    </w:p>
    <w:p>
      <w:r>
        <w:t>Das Handelsgericht qualifizierte den Vertrag zwischen den Parteien als Kaufvertrag mit Lieferverpflichtung an die Baustelle mit der Möglichkeit der Beschwerdegegnerin, die Beschwerdeführerin gegen Bezahlung einer Tagespauschale zur Instruktion und Mitarbeit beizuziehen. Dass diese Qualifikation Bundesrecht verletzten soll, macht die Beschwerdeführerin nicht geltend und ist auch nicht ersichtlich.</w:t>
      </w:r>
    </w:p>
    <w:p>
      <w:r>
        <w:rPr>
          <w:b/>
        </w:rPr>
        <w:t>E. 3.1</w:t>
      </w:r>
    </w:p>
    <w:p>
      <w:r>
        <w:t>Wie weit die anspruchsbegründenden Tatsachen inhaltlich zu substanziieren sind, damit sie unter die massgeblichen Bestimmungen des materiellen Rechts subsumiert werden können, bestimmt das materielle Bundesrecht. Die jeweiligen Anforderungen ergeben sich einerseits aus den Tatbestandsmerkmalen der angerufenen Norm und anderseits aus dem prozessualen Verhalten der Gegenpartei. Tatsachenbehauptungen müssen dabei so konkret formuliert sein, dass ein substanziiertes Bestreiten möglich ist oder der Gegenbeweis angetreten werden kann. Bestreitet der Prozessgegner das an sich schlüssige Vorbringen der behauptungsbelasteten Partei, kann diese gezwungen sein, die rechtserheblichen Tatsachen nicht nur in den Grundzügen, sondern so umfassend und klar darzulegen, dass darüber Beweis abgenommen werden kann ( BGE 127 III 365 E. 2b mit Hinweisen). Auf welchem Weg ein subsumptionsfähiger Sachverhalt erlangt werden soll, bestimmt dagegen das kantonale Prozessrecht, das die Frage regelt, in welcher Form und bis zu welchem Zeitpunkt die inhaltlich genügenden Sachvorbringen in das Verfahren einzuführen sind. Kantonales Prozessrecht entscheidet auch darüber, ob eine Ergänzung der Sachvorbringen aufgrund des Beweisverfahrens zulässig ist oder ob bereits die vorgängigen Behauptungen so konkret und detailliert sein müssen, dass das Beweisverfahren allein noch ihrer Überprüfung dient ( BGE 127 III 365 E. 2c; 108 II 337 E. 3; Urteil 4C.351/2000 vom 20. Juli 2001 E. 3c).</w:t>
      </w:r>
    </w:p>
    <w:p>
      <w:r>
        <w:rPr>
          <w:b/>
        </w:rPr>
        <w:t>E. 3.2</w:t>
      </w:r>
    </w:p>
    <w:p>
      <w:r>
        <w:t>Das Handelsgericht erwog, die Beschwerdeführerin mache unter dem Titel "zusätzliche Warenbezüge" Fr. 172'527.78 zuzüglich Mehrwertsteuer für Bestellungsänderungen und Zusatzbestellungen geltend. Da die entsprechenden Bestellungen von der Beschwerdegegnerin bestritten worden seien, hätte die Beschwerdeführerin darzulegen gehabt, wer wann bei wem welche Waren zu welchem Preis bestellt haben soll und wann diese geliefert worden sein sollen. Ohne solche Angaben könne kein Beweisverfahren durchgeführt und somit die klägerische Behauptung von Zusatzbestellungen nicht abgeklärt werden. Dasselbe gelte für die "Rohrhalterungen" für Fr. 10'000.-- und für die behaupteten Fehl- und Doppelbestellungen. Die Beschwerdeführerin reiche zwar eine Beilage ein, in welcher sie sämtliche geltend gemachten zusätzlichen Warenbezüge einzeln aufliste (act. 21/23). Ein Verweis auf Beilagen könne jedoch die Substanziierung in den Rechtsschriften nicht ersetzen. Zudem fehlten auch auf dieser Liste die notwendigen konkretisierenden Angaben zu den geltend gemachten Materialbestellungen, weshalb auch bei Berücksichtigung dieser Liste keine rechtsgenügliche Substanziierung vorliegen würde.</w:t>
      </w:r>
    </w:p>
    <w:p>
      <w:r>
        <w:rPr>
          <w:b/>
        </w:rPr>
        <w:t>E. 3.3</w:t>
      </w:r>
    </w:p>
    <w:p>
      <w:r>
        <w:t>Die Beschwerdeführerin rügt, das Handelsgericht habe nicht beachtet, dass die gemäss der Rechtsprechung des Kassationsgerichts erforderlichen Voraussetzungen eines zulässigen Verweises auf Akten vorliegend offensichtlich erfüllt gewesen seien. In der Replik sei spezifisch auf ins Recht gelegte Lieferscheinkopien verwiesen worden, denen die massgeblichen Bestell-Notizen bei Telefonbestellungen bzw. die Telefax-Bestellungen angeheftet gewesen sei. Damit habe einfach und direkt aus den entsprechenden Aktenstücken abgelesen werden können, was wann und wie bestellt worden sei.</w:t>
      </w:r>
    </w:p>
    <w:p>
      <w:r>
        <w:rPr>
          <w:b/>
        </w:rPr>
        <w:t>E. 3.4</w:t>
      </w:r>
    </w:p>
    <w:p>
      <w:r>
        <w:t>Auf diese Rüge ist nicht einzutreten, weil die Beschwerdeführerin damit eine willkürlichen Anwendung kantonalen Rechts rügt und der angefochtene Entscheid insoweit nicht letztinstanzlich ist (E. 1.2 hiervor).</w:t>
      </w:r>
    </w:p>
    <w:p>
      <w:r>
        <w:rPr>
          <w:b/>
        </w:rPr>
        <w:t>E. 4.1</w:t>
      </w:r>
    </w:p>
    <w:p>
      <w:r>
        <w:t>Alsdann macht die Beschwerdeführerin geltend, die von ihr ins Recht gelegten Lieferscheine umfassten das gesamte bestellte und gelieferte Material. Diese Lieferscheine hätten zur Substanziierung der Lieferung des in der Offerte enthaltenen Materials genügt und müssten daher auch für die rechtsgenügliche Substanziierung der Lieferung des ausserhalb der Offerte verkauften Materials genügen. Die vom Handelsgericht vorgenommene Differenzierung sei daher nicht nachvollziehbar.</w:t>
      </w:r>
    </w:p>
    <w:p>
      <w:r>
        <w:rPr>
          <w:b/>
        </w:rPr>
        <w:t>E. 4.2</w:t>
      </w:r>
    </w:p>
    <w:p>
      <w:r>
        <w:t>Die Beschwerdeführerin lässt ausser Acht, dass die Bestellung des in der Offerte enthaltenen Materials anerkannt und damit diesbezüglich nur noch die Lieferung zu behaupten war, wogegen bezüglich der in der Offerte nicht enthaltenen Lieferungen auch die entsprechenden Bestellungen bestritten und damit zu behaupten waren. Das Handelsgericht hat demnach mit der entsprechenden Differenzierung kein Bundesrecht verletzt.</w:t>
      </w:r>
    </w:p>
    <w:p>
      <w:r>
        <w:rPr>
          <w:b/>
        </w:rPr>
        <w:t>E. 5.1</w:t>
      </w:r>
    </w:p>
    <w:p>
      <w:r>
        <w:t>Weiter macht die Beschwerdeführerin geltend, das Handelsgericht verkenne die bundesrechtlichen Anforderungen an die Substanziierung, wenn es Angaben über die näheren Umstände der Bestellungsänderungen- bzw. der Mehrbestellungen verlange. Diese Umstände seien ohne Belang, da es irrelevant sei, wieso es zu diesen Änderungen gekommen sei.</w:t>
      </w:r>
    </w:p>
    <w:p>
      <w:r>
        <w:rPr>
          <w:b/>
        </w:rPr>
        <w:t>E. 5.2</w:t>
      </w:r>
    </w:p>
    <w:p>
      <w:r>
        <w:t>Soweit das Handelsgericht das Fehlen der notwendigen konkretisierenden Angaben zu den geltend gemachten zusätzlichen Materialbestellungen feststellte, bezog es sich darauf, dass es bezüglich des Abschlusses entsprechender Kaufverträge Angaben darüber verlangte, wer wann bei wem welche Waren zu welchem Preis bestellt haben soll. Inwiefern das Handelsgericht dabei Bundeszivilrecht verletzen soll, legt die Beschwerdeführerin nicht dar und ist auch nicht ersichtlich, zumal entgegen ihrer Ansicht die Lieferung und Entgegennahme einer Ware zum Abschluss eines Kaufvertrages nicht genügt.</w:t>
      </w:r>
    </w:p>
    <w:p>
      <w:r>
        <w:rPr>
          <w:b/>
        </w:rPr>
        <w:t>E. 6</w:t>
      </w:r>
    </w:p>
    <w:p>
      <w:r>
        <w:t>Nach dem Gesagten ist die Beschwerde abzuweisen, soweit darauf einzutreten ist. Bei diesem Ausgang des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