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4A_498/2021 vom 21. Dezember 2021</w:t>
      </w:r>
    </w:p>
    <w:p>
      <w:r>
        <w:t>Bundesgericht, 2021-12-21, DE</w:t>
      </w:r>
    </w:p>
    <w:p>
      <w:r>
        <w:rPr>
          <w:b/>
        </w:rPr>
        <w:t xml:space="preserve">Quelle: </w:t>
      </w:r>
      <w:r>
        <w:t>https://mcp.opencaselaw.ch/entscheid/bger_4A_498_2021</w:t>
      </w:r>
    </w:p>
    <w:p>
      <w:r>
        <w:t>FR: TF 4A_498/2021 du 21 décembre 2021</w:t>
      </w:r>
    </w:p>
    <w:p>
      <w:r>
        <w:t>IT: TF 4A_498/2021 del 21 dicembre 2021</w:t>
      </w:r>
    </w:p>
    <w:p>
      <w:pPr>
        <w:pStyle w:val="Heading2"/>
      </w:pPr>
      <w:r>
        <w:t>Erwägungen</w:t>
      </w:r>
    </w:p>
    <w:p>
      <w:r>
        <w:rPr>
          <w:b/>
        </w:rPr>
        <w:t>E. 1</w:t>
      </w:r>
    </w:p>
    <w:p>
      <w:r>
        <w:t>Mit Urteil vom 23. Dezember 2020 wies das Bezirksgericht Hochdorf eine von der Beschwerdeführerin gegen die Beschwerdegegnerin erhobene Forderungsklage ab, soweit es darauf eintrat, und verpflichtete sie widerklageweise, der Beschwerdegegnerin Fr. 23'637.75 (Fr. 20'242.-- ausstehende Mietzinse, Fr. 1'077.-- Reinigungskosten, Fr. 2'318.75 Einlagerungskosten) zu bezahlen.</w:t>
      </w:r>
    </w:p>
    <w:p>
      <w:r>
        <w:t>Mit Entscheid vom 12. August 2021 trat das Kantonsgericht Luzern auf eine von der Beschwerdeführerin gegen den bezirksgerichtlichen Entscheid vom 23. Dezember 2020 erhobene Berufung infolge unzureichender Begründung des Rechtsmittels nicht ein.</w:t>
      </w:r>
    </w:p>
    <w:p>
      <w:r>
        <w:t>Mit Eingabe vom 17. September erklärte die Beschwerdeführerin dem Bundesgericht, den Entscheid des Kantonsgerichts Luzern vom 12. August 2021 mit Beschwerde anfechten zu wollen.</w:t>
      </w:r>
    </w:p>
    <w:p>
      <w:r>
        <w:t>Mit Eingabe vom 8. Oktober 2021 (Postaufgabe: 11. Oktober 2021) ergänzte die Beschwerdeführerin ihre Beschwerdeeingabe und reichte dem Bundesgericht weitere Unterlagen ein.</w:t>
      </w:r>
    </w:p>
    <w:p>
      <w:r>
        <w:t>Es wurden keine Vernehmlassungen eingeholt.</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Die Beschwerdeführerin setzt sich in ihren Eingaben nicht hinreichend mit der Hauptbegründung des angefochtenen Entscheids des Kantonsgerichts Luzern vom 12. August 2021 auseinander und zeigt nicht auf, inwiefern die Vorinstanz mit ihrem Nichteintretensentscheid Bundesrecht verletzt hätte. Die Eingabe erfüllt damit die erwähnten Begründungsanforderungen offensichtlich nicht.</w:t>
      </w:r>
    </w:p>
    <w:p>
      <w:r>
        <w:t>Auf die Beschwerde ist somit mangels hinreichender Begründung nicht einzutreten ( Art. 108 Abs. 1 lit. b BGG ).</w:t>
      </w:r>
    </w:p>
    <w:p>
      <w:r>
        <w:rPr>
          <w:b/>
        </w:rPr>
        <w:t>E. 3</w:t>
      </w:r>
    </w:p>
    <w:p>
      <w:r>
        <w:t>Die Beschwerdeführerin wird bei diesem Verfahrensausgang kostenpflichtig ( Art. 66 Abs. 1 BGG ). Der Beschwerdegegnerin steht keine Parteientschädigung zu, da ihr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