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496/2014 vom 11. Februar 2015</w:t>
      </w:r>
    </w:p>
    <w:p>
      <w:r>
        <w:t>Bundesgericht, 2015-02-11, FR</w:t>
      </w:r>
    </w:p>
    <w:p>
      <w:r>
        <w:rPr>
          <w:b/>
        </w:rPr>
        <w:t xml:space="preserve">Quelle: </w:t>
      </w:r>
      <w:r>
        <w:t>https://mcp.opencaselaw.ch/entscheid/bger_4A_496_2014</w:t>
      </w:r>
    </w:p>
    <w:p>
      <w:r>
        <w:t>FR: TF 4A 496/2014 du 11 février 2015</w:t>
      </w:r>
    </w:p>
    <w:p>
      <w:r>
        <w:t>IT: TF 4A 496/2014 del 11 febbraio 2015</w:t>
      </w:r>
    </w:p>
    <w:p>
      <w:pPr>
        <w:pStyle w:val="Heading2"/>
      </w:pPr>
      <w:r>
        <w:t>Regeste</w:t>
      </w:r>
    </w:p>
    <w:p>
      <w:r>
        <w:t>qualité pour agir; représentation | Droit des contrats</w:t>
      </w:r>
    </w:p>
    <w:p>
      <w:pPr>
        <w:pStyle w:val="Heading2"/>
      </w:pPr>
      <w:r>
        <w:t>Erwägungen</w:t>
      </w:r>
    </w:p>
    <w:p>
      <w:r>
        <w:rPr>
          <w:b/>
        </w:rPr>
        <w:t>E. 1</w:t>
      </w:r>
    </w:p>
    <w:p>
      <w:r>
        <w:t>L' art. 99 al. 1 LTF prohibe la présentation de faits nouveaux ou de preuves nouvelles, sauf s'ils résultent de la décision de l'autorité précédente. Cette exception n'est pas destinée à remédier aux négligences du justiciable qui a omis de présenter plus tôt des éléments de fait ou de preuve ( ATF 136 III 123 consid. 4.4.3 p. 129). En l'occurrence, la décision attaquée relève que le recourant n'établit pas avoir versé à son fournisseur le prix du diamant perdu; cela ne l'autorise pas pour autant à produire des pièces nouvelles pour prouver ledit versement, le recourant ne plaidant pas avoir été empêché de présenter plus tôt ces pièces datant de 2008. En conséquence, elles sont irrecevables.</w:t>
      </w:r>
    </w:p>
    <w:p>
      <w:r>
        <w:rPr>
          <w:b/>
        </w:rPr>
        <w:t>E. 2.1</w:t>
      </w:r>
    </w:p>
    <w:p>
      <w:r>
        <w:t>Le recourant reproche à l'autorité intimée d'avoir établi les faits de façon manifestement inexacte et en violation de l' art. 8 CC ( art. 97 al. 1 LTF ). Il relève en particulier que le dossier ne contient aucun allégué en rapport avec le fait qu'il aurait agi comme représentant du fournisseur du diamant. L'autorité précédente s'est fondée sur les explications données par le recourant dans le cadre de son interrogatoire pour retenir sa qualité de représentant direct. Le recourant paraît ainsi reprocher à la Cour d'appel d'avoir pris en compte ses déclarations alors qu'elles ne se rapportent à aucun allégué. Il n'y a pas à entrer en matière sur un tel grief. En effet, avant janvier 2011 et l'entrée en vigueur de la procédure unifiée, il incombait en principe aux procédures cantonales de déterminer si le juge devait fonder son jugement exclusivement sur des faits allégués par les parties ( ATF 108 II 337 consid. 2d). En l'occurrence, la première instance était encore soumise à l'ancienne procédure valaisanne, dont le Tribunal fédéral peut contrôler l'application sous l'angle de l'arbitraire uniquement ( art. 9 Cst. ), ce qui suppose un grief circonstancié ( art. 106 al. 2 LTF ; ATF 134 III 379 consid. 1.2 et 134 II 244 consid. 2.2). Or, l'on ne trouve aucune trace d'un moyen précisant quelle (s) disposition (s) de la procédure cantonale aurai (en) t été appliquée (s) de façon insoutenable.</w:t>
      </w:r>
    </w:p>
    <w:p>
      <w:r>
        <w:rPr>
          <w:b/>
        </w:rPr>
        <w:t>E. 2.2</w:t>
      </w:r>
    </w:p>
    <w:p>
      <w:r>
        <w:t>Le recourant juge arbitraire de se fonder sur ses déclarations pour retenir un rapport de représentation directe, tout en les jugeant inaptes à prouver le paiement du diamant à son fournisseur. Le grief n'est pas fondé. Il n'est pas insoutenable de juger crédibles des déclarations en tant qu'elles accréditent la version de la partie adverse, tout en écartant les éléments "à décharge".</w:t>
      </w:r>
    </w:p>
    <w:p>
      <w:r>
        <w:rPr>
          <w:b/>
        </w:rPr>
        <w:t>E. 3.1</w:t>
      </w:r>
    </w:p>
    <w:p>
      <w:r>
        <w:t>Le recourant reproche à l'autorité précédente d'avoir violé les art. 32 à 34 CO en considérant qu'il avait agi comme représentant direct de son fournisseur. Les faits retenus ne dénoteraient aucune volonté d'agir au nom d'autrui et ne réaliseraient pas non plus les prévisions de l' art. 32 al. 2 CO . L'on ne saurait attacher d'importance particulière au fait que le recourant n'était pas propriétaire du diamant et devait toucher une commission en cas de vente; cela n'exclurait nullement qu'il ait contracté en son nom propre.</w:t>
      </w:r>
    </w:p>
    <w:p>
      <w:r>
        <w:rPr>
          <w:b/>
        </w:rPr>
        <w:t>E. 3.2</w:t>
      </w:r>
    </w:p>
    <w:p>
      <w:r>
        <w:t>L' art. 32 CO a la teneur suivante: 1 Les droits et les obligations dérivant d'un contrat fait au nom d'une autre personne par un représentant autorisé passent au représenté. 2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 Dans la représentation directe, le représentant conclut un contrat dont les effets passent directement au représenté ( art. 32 al. 1 CO ); le représentant n'est pas partie au contrat. La manifestation de la volonté de conclure le contrat au nom d'autrui peut être expresse ou tacite ( ATF 126 III 59 consid. 1b). Les règles d'interprétation habituelles déduites de l' art. 18 CO s'appliquent. L'application du principe de la confiance peut conduire à ce que les effets du contrat passent au tiers représenté alors même que le représentant n'avait pas une telle volonté interne, mais a adopté un comportement qui faisait de bonne foi croire à une telle volonté ( ATF 120 II 197 consid. 2b/aa p. 200). L'effet de représentation peut en outre se produire s'il est indifférent pour le tiers de conclure avec le représentant ou le représenté (art. 32 al. 2 i.f. CO); encore faut-il, dans ce cas de figure, que le représentant ait la volonté réelle d'agir au nom d'autrui ( ATF 117 II 387 consid. 2a p. 389). 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(cf. art. 32 al. 3 CO ; ATF 100 II 200 consid. 8a p. 211). Lorsque le représentant révèle à son cocontractant qu'il n'agit pas pour son propre compte, la distinction entre la représentation directe et indirecte peut s'avérer délicate ( ATF 126 III 59 consid. 1b).</w:t>
      </w:r>
    </w:p>
    <w:p>
      <w:r>
        <w:rPr>
          <w:b/>
        </w:rPr>
        <w:t>E. 3.3</w:t>
      </w:r>
    </w:p>
    <w:p>
      <w:r>
        <w:t>Il convient d'examiner si le Tribunal cantonal était fondé à retenir l'existence d'un rapport de représentation directe. Il n'apparaît pas que le recourant aurait manifesté expressément la volonté d'agir au nom de son fournisseur. Se pose la question de savoir si l'intimée devait inférer des circonstances qu'il existait un rapport de représentation directe. En d'autres termes, devait-elle de bonne foi comprendre que le recourant agissait non seulement pour le compte d'autrui, mais de surcroît au nom d'autrui, c'est-à-dire qu'il n'entendait pas être personnellement partie au contrat? L'intimée était informée du risque que le fournisseur du recourant exige la restitution de la pierre précieuse, passé un certain délai. Le recourant a précisé que son fournisseur était le propriétaire du diamant, lui-même devant se contenter d'une commission en cas de vente. Même si l'on présuppose que l'intimée avait aussi connaissance de ces deux éléments, elle devait en inférer que le recourant agissait comme intermédiaire pour le compte d'autrui . Elle ne devait pas nécessairement en déduire qu'il agissait de surcroît au nom d'autrui . L'on en veut pour preuve que lorsqu'un intermédiaire s'oblige par un contrat de commission à vendre la chose mobilière d'autrui ( art. 425 ss CO ), l'intermédiaire/commissionnaire ne devient généralement pas propriétaire de l'objet qu'il est chargé de vendre; or, cela n'enlève rien au fait que le commissionnaire conclut classiquement le contrat de vente en son nom propre, comme représentant indirect. Il suffit en effet qu'il ait l'autorisation de transférer la propriété de la chose mobilière au tiers acheteur ( VON PLANTA/FLEGBO-BERNEY, in Commentaire romand, 2 e éd. 2012, n° 5 ad art. 434 CO ; HERBERT SCHÖNLE, Vertragsrecht und Verfügungsermächtigung des indirekten Stellvertreters, in Gauchs Welt, Festschrift für Peter Gauch zum 65. Geburtstag, 2004, p. 621 s. et les réf. citées en note 19). Il en va de même si l'intermédiaire est chargé de conclure non pas une vente, mais un contrat estimatoire: il suffit qu'il ait l'autorisation de transférer la propriété. En l'occurrence, le recourant a fait attester de la réception du diamant sur un bulletin de livraison portant son en-tête; il entretenait avec l'organe de l'intimée une relation commerciale empreinte de confiance et des liens d'amitié et lui avait déjà fourni des pierres, pas nécessairement du même fournisseur. Ces éléments ne plaident pas en faveur d'un contrat conclu au nom d'un tiers. Il n'y a pas en soi de présomption selon laquelle le propriétaire qui recourt aux services d'un intermédiaire pour aliéner sa chose mobilière est partie au contrat d'aliénation. L'on observe du reste qu'il est protégé par l' art. 401 al. 1 CO , en vertu duquel il devient propriétaire des créances que l'intermédiaire contracte contre le tiers, pour autant que le propriétaire/représenté indirect et l'intermédiaire soient liés par une forme de mandat ( ATF 122 III 361 consid. 3a). Pour le surplus, les faits mentionnés dans l'arrêt attaqué ne suffisent pas à conclure qu'il était indifférent pour l'intimée de conclure avec le recourant ou son fournisseur, et que le recourant avait la volonté réelle de conclure au nom de celui-ci. Selon l'arrêt attaqué, le recourant n'a jamais prétendu que le fournisseur ne voulait pas apparaître lors de la transaction; mais il n'apparaît pas non plus que le recourant était disposé à donner le nom de ses fournisseurs. L'autorité d'appel relève que l'identité du fournisseur est toujours inconnue. En bref, sur la base des seuls faits invoqués par la cour cantonale, il était contraire au droit fédéral de retenir que le recourant avait agi comme représentant direct de son fournisseur. A défaut d'autres éléments - ce qui devra encore être clarifié -, il faudra constater qu'il était bel et bien partie au contrat estimatoire.</w:t>
      </w:r>
    </w:p>
    <w:p>
      <w:r>
        <w:rPr>
          <w:b/>
        </w:rPr>
        <w:t>E. 4</w:t>
      </w:r>
    </w:p>
    <w:p>
      <w:r>
        <w:t>En définitive, le recours est admis et l'arrêt attaqué est annulé. La cause est renvoyée à l'autorité précédente pour nouvelle décision. Elle déterminera, cas échéant, si d'autres éléments non mentionnés dans sa décision permettent de fonder un rapport de représentation directe.</w:t>
      </w:r>
    </w:p>
    <w:p>
      <w:r>
        <w:rPr>
          <w:b/>
        </w:rPr>
        <w:t>E. 5</w:t>
      </w:r>
    </w:p>
    <w:p>
      <w:r>
        <w:t>Le recourant obtient gain de cause. En conséquence, l'intimée supportera les frais de la présente procédure et lui versera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