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496/2010 vom 14. Februar 2011</w:t>
      </w:r>
    </w:p>
    <w:p>
      <w:r>
        <w:t>Bundesgericht, 2011-02-14, DE</w:t>
      </w:r>
    </w:p>
    <w:p>
      <w:r>
        <w:rPr>
          <w:b/>
        </w:rPr>
        <w:t xml:space="preserve">Quelle: </w:t>
      </w:r>
      <w:r>
        <w:t>https://mcp.opencaselaw.ch/entscheid/bger_4A_496_2010</w:t>
      </w:r>
    </w:p>
    <w:p>
      <w:r>
        <w:t>FR: TF 4A 496/2010 du 14 février 2011</w:t>
      </w:r>
    </w:p>
    <w:p>
      <w:r>
        <w:t>IT: TF 4A 496/2010 del 14 febbraio 2011</w:t>
      </w:r>
    </w:p>
    <w:p>
      <w:pPr>
        <w:pStyle w:val="Heading2"/>
      </w:pPr>
      <w:r>
        <w:t>Regeste</w:t>
      </w:r>
    </w:p>
    <w:p>
      <w:r>
        <w:t>aktienrechtliche Verantwortlichkeit | Gesellschaftsrecht</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Die Beschwerde richtet sich gegen einen verfahrensabschliessenden Entscheid einer letzten kantonalen Instanz (Art. 75 Abs. 1 i.V.m. Art. 90 BGG ) in einer Zivilsache ( Art. 72 Abs. 1 BGG ), die Rechtsbegehren der Beschwerdeführerin sind im kantonalen Verfahren nicht geschützt worden ( Art. 76 Abs. 1 BGG ), der massgebende Streitwert beträgt mehr als Fr. 30'000.-- (Art. 51 i.V.m. Art. 74 Abs. 1 lit. b BGG ) und die Beschwerdefrist ist eingehalten (Art. 46 Abs. 1 lit. b i.V.m. Art. 100 Abs. 1 BGG ). Unter Vorbehalt einer rechtsgenüglichen Begründung (E. 1.2 hienach) ist auf die Beschwerde in Zivilsachen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mit 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2</w:t>
      </w:r>
    </w:p>
    <w:p>
      <w:r>
        <w:t>Die Beschwerdeführerin macht in ihrer Beschwerde an das Bundesgericht wie bereits vor der Vorinstanz geltend, der damalige Verwaltungsrat der X.________ AG habe gegen das Verbot der Einlagenrückgewähr nach Art. 680 Abs. 2 OR verstossen und sich dadurch nach Art. 754 OR verantwortlich gemacht, indem er am 6. Dezember 2000 einen Betrag von total Fr. 1'006'400.-- an die Aktienkapitalzeichner C.________ sel. und G.________ AG ausbezahlt habe.</w:t>
      </w:r>
    </w:p>
    <w:p>
      <w:r>
        <w:rPr>
          <w:b/>
        </w:rPr>
        <w:t>E. 2.1</w:t>
      </w:r>
    </w:p>
    <w:p>
      <w:r>
        <w:t>Eines der wichtigsten Prinzipien des Aktienrechts ist der Kapitalschutz ( BGE 132 III 668 E. 3.2 S. 673). In dessen Dienst steht eine ganze Reihe zwingender Bestimmungen, mit denen sichergestellt werden soll, dass der AG stets ein Reinvermögen - d.h. Aktiven minus Passiven - mindestens im Umfang von Grundkapital und gebundenen Reserven erhalten bleibt ( BGE 117 IV 259 E. 5a m.H.). Dazu gehört auch das in Art. 680 Abs. 2 OR verankerte Verbot der Einlagenrückgewähr (Urteil 4A_188/2007 vom 13. September 2007 E. 4.3.2). Nach dieser Norm steht dem Aktionär kein Recht zu, den (für die Liberierung seiner Aktien) eingezahlten Betrag zurückzufordern, woraus die Rechtsprechung ein Kapitalrückzahlungsverbot ableitet, welches auch die Gesellschaft bindet ( BGE 61 I 147 ; Urteil 1P.573/1999 vom 3. Januar 2000 E. 4b). Ausser bei der Herabsetzung des Aktienkapitals nach Art. 732 ff. OR ist die Rückzahlung von Aktienkapital an einen Aktionär unzulässig und ein gleichwohl ausbezahlter Betrag muss zurückerstattet werden ( BGE 109 II 128 E. 2 S. 129; 87 II 181 E. 9). Eine unzulässige Kapitalrückzahlung liegt nach der Rechtsprechung etwa dann vor, wenn ein Aktionär für die Liberierung der von ihm gezeichneten Aktien ein kurzfristiges Darlehen aufnimmt und ihm die Gesellschaft den Betrag wieder zur Verfügung stellt, damit er jenes Darlehen zurückzahlen kann ( BGE 109 II 128 E. 2 S. 129 mit Hinweis auf das Urteil der I. Zivilabteilung vom 14. Februar 1967, publ. in: SJ 1969, S. 151 ff., S. 154).</w:t>
      </w:r>
    </w:p>
    <w:p>
      <w:r>
        <w:rPr>
          <w:b/>
        </w:rPr>
        <w:t>E. 2.2</w:t>
      </w:r>
    </w:p>
    <w:p>
      <w:r>
        <w:t>Demgegenüber hat es das Bundesgericht in BGE 87 II 169 E. 9 S. 181 ff. als mit Art. 680 Abs. 2 OR vereinbar erachtet, wenn aus dem Erlös der Aktienliberierung Forderungen erfüllt werden, welche einem Aktionär gegenüber der Gesellschaft bereits vor der Kapitalerhöhung zustanden. Dem Entscheid lag folgender Sachverhalt zugrunde: Die Generalversammlung einer sich in finanzieller Bedrängnis befindenden Aktiengesellschaft beschloss, das Aktienkapital herabzusetzen und anschliessend durch Beschaffung neuer Mittel wieder heraufzusetzen. Einer der Aktionäre wollte sich durch Verrechnung der Liberierungspflicht mit seiner gegenüber der Gesellschaft unstreitig bestehenden Darlehensforderung an der Kapitalerhöhung beteiligen. Der Verwaltungsratspräsident beharrte indessen auf einer Barliberierung. Der Aktionär akzeptierte dies, wollte eine Barzahlung jedoch nur unter der Bedingung leisten, dass ihm sein Darlehen unverzüglich zurückbezahlt werde. Da der Gesellschaft die hiefür erforderlichen Mittel fehlten, einigte man sich auf folgendes Vorgehen: Die Gesellschaft beschloss die Barliberierung und stellte dem Aktionär ein Wechselakzept in der Höhe seines Guthabens aus, das dieser bei einer Bank diskontieren liess. Den Erlös verwendete der Aktionär zur Liberierung der von ihm gezeichneten Aktien. Daraufhin stellte die Generalversammlung der Gesellschaft fest, dass der Betrag der Kapitalerhöhung gezeichnet und bei der Bank voll einbezahlt worden sei, und dass das Geld zur freien Verfügung der Gesellschaft stehe. Das dem Aktionär übergebene Wechselakzept wurde in der Folge von der Gesellschaft aus Mitteln der Kapitalerhöhung eingelöst. Das Bundesgericht qualifizierte dieses Vorgehen nicht als unzulässige Kapitalrückzahlung, weil aus den Mitteln der Kapitalerhöhung nicht die Kapitaleinzahlung des Aktionärs, sondern (über den Umweg des Wechselakzepts und Diskonts) das Darlehen des Aktionärs zurückbezahlt wurde ( BGE 87 II 169 E. 9c S. 182). Weil die Darlehensschuld gegenüber dem Aktionär schon vor der Kapitalerhöhung bestand und die Gesellschaft zu ihrer Tilgung früher oder später ohnehin verpflichtet war, wurde das Grundkapital durch ihre Begleichung denn auch nicht in unzulässiger Weise geschwächt ( BGE 87 II 169 E. 7 S. 180). Im Urteil der I. Zivilabteilung vom 14. Februar 1967, publ. in: SJ 1969, S. 151 ff., E. 2, bestätigte das Bundesgericht unter Hinweis auf BGE 87 II 169 , dass eine Gesellschaft ihre Schulden gegenüber einer Aktionärin mit den aus der Barliberierung gewonnen Mitteln grundsätzlich begleichen darf (wobei im konkreten Fall ein Verstoss gegen Art. 680 Abs. 2 OR vorlag, weil Kapital ausbezahlt wurde, ohne dass eine Schuld der Gesellschaft gegenüber der Aktionärin ausgewiesen gewesen wäre).</w:t>
      </w:r>
    </w:p>
    <w:p>
      <w:r>
        <w:rPr>
          <w:b/>
        </w:rPr>
        <w:t>E. 2.3</w:t>
      </w:r>
    </w:p>
    <w:p>
      <w:r>
        <w:t>Auf die in BGE 87 II 169 begründete Rechtsprechung stützte sich im angefochtenen Entscheid auch die Vorinstanz. Sie leitete daraus ab, dass der Verwaltungsrat der Beschwerdeführerin mit den Zahlungen vom 6. Dezember 2000 an die Aktienkapitalzeichner C.________ sel. und G.________ AG nicht gegen Art. 680 Abs. 2 OR verstossen habe, da er damit lediglich fällige Forderungen beglichen habe, welche den beiden Aktionären bereits vor der Kapitalerhöhung gegenüber der Gesellschaft zugestanden hätten und die auch bereits in Betreibung gesetzt worden seien. Zudem hätten die kreditgebenden Banken infolge der Kapitalerhöhung vereinbarungsgemäss die Kreditlimite um Fr. 1 Mio. angehoben und die Beschwerdeführerin auch mit den dadurch zugeflossenen Mitteln in die Lage versetzt, die ausstehenden Schulden gegenüber C.________ sel. und der G.________ AG (wenigstens teilweise) zu erfüllen. Bei den Zahlungen handle es sich mithin keineswegs um Kapitalrückzahlungen. Ein Abweichen von der in BGE 87 II 169 begründeten Rechtsprechung würde nach der Vorinstanz zudem auf eine Ungleichbehandlung unter den Gläubigern hinauslaufen, weil Gesellschaftsgläubiger, welche sich an einer Kapitalerhöhung als Aktienzeichner beteiligen, aufgrund des drohenden Verstosses gegen Art. 680 Abs. 2 OR für einen längeren Zeitraum nach durchgeführter Kapitalerhöhung auf die Durchsetzung ihrer Forderungen verzichten müssten.</w:t>
      </w:r>
    </w:p>
    <w:p>
      <w:r>
        <w:rPr>
          <w:b/>
        </w:rPr>
        <w:t>E. 2.4</w:t>
      </w:r>
    </w:p>
    <w:p>
      <w:r>
        <w:t>Gegen diese Erwägungen wendet die Beschwerdeführerin ein, BGE 87 II 169 sei nicht einschlägig, da im vorliegend zu entscheidenden Fall direkt Geld von der Gesellschaft an die Aktienzeichner geflossen sei ("geschlossener Geldkreislauf"), während der Aktionär im Sachverhalt des BGE 87 II 169 das Geld via eine Bank durch Diskontierung eines Wechselakzepts ausbezahlt erhalten habe ("unterbrochener Geldkreislauf"). Mit diesem Einwand verkennt die Beschwerdeführerin die Tragweite des Präjudizes von BGE 87 II 169 , welches so zu verstehen ist, dass in der Erfüllung einer Forderung, welche dem Aktienzeichner bereits vor der Kapitalerhöhung gegenüber der Gesellschaft zustand, keine verbotene Kapitalrückzahlung liegt, selbst wenn die Mittel aus einer Barliberierung stammen. In diesem Sinne wird der Entscheid denn auch im Urteil der I. Zivilabteilung vom 14. Februar 1967, publ. in: SJ 1969, S. 151 ff., E. 2, sowie in der Literatur rezipiert (vgl. Lukas Glanzmann, Die Schranken der Liberierung durch Verrechnung nach schweizerischem Aktienrecht, ZSR I 1999, S. 237). Entscheidend ist mit Blick auf Art. 680 Abs. 2 OR mithin nicht die Art und Weise, wie das Geld an den Aktionär gelangt, sondern dass damit eine reale Schuld der Gesellschaft gegenüber dem Aktionär beglichen wird (vgl. auch Arnold F. Rusch, Interzession im Interesse des Aktionärs, Diss. Zürich 2004, S. 143). Erfolgt die Leistung auf eine ausgewiesene (und nicht bloss fiktive) Gesellschaftsschuld hin, wird nicht Eigenkapital zurückerstattet, sondern Fremdkapital zurückbezahlt (was selbst dann gilt, wenn es um die Rückzahlung eines sog. "kapitalersetzenden Darlehens" geht, wird doch eine Umqualifikation von Fremd- in Eigenkapital im Aktienrecht grundsätzlich abgelehnt: Urteile 5C.230/2005 vom 2. März 2006 E. 3 sowie 6B_492/2009 vom 18. Januar 2010 E. 2.3.2). Denn auch Forderungen von Aktionären gegenüber der eigenen AG sind als Fremdkapital zu behandeln und - unter Vorbehalt des Rechtsmissbrauchs - von der AG entsprechend zu erfüllen (Meier-Hayoz/ Forstmoser, Schweizerisches Gesellschaftsrecht, 10. Aufl., 2007, § 16 N 75 ). Im vorliegenden Fall ist erstellt (und wird von der Beschwerdeführerin auch nicht bestritten), dass C.________ sel. und die G.________ AG gegenüber der Gesellschaft Forderungen von mindestens Fr. 400'000.-- bzw. Fr. 600'000.-- zustanden. Damit hat sich die Vorinstanz zu Recht auf BGE 87 II 169 abgestützt und daraus zutreffend geschlossen, dass in der Erfüllung dieser Gesellschaftsschulden aus Mitteln der Barliberierung kein Verstoss gegen Art. 680 Abs. 2 OR liegt. Gründe dafür, von der in BGE 87 II 169 begründeten Rechtsprechung abzurücken, sind nicht ersichtlich.</w:t>
      </w:r>
    </w:p>
    <w:p>
      <w:r>
        <w:rPr>
          <w:b/>
        </w:rPr>
        <w:t>E. 2.5</w:t>
      </w:r>
    </w:p>
    <w:p>
      <w:r>
        <w:t>Diesen Befund vermag die Beschwerdeführerin auch nicht mit dem Hinweis auf die strafrechtliche Rechtsprechung betreffend Gründungs- und Emissionsschwindel in Frage zu stellen. Die von ihr angeführten Urteile 1P.258/2003 vom 19. August 2003 sowie 6S.96/2002 vom 19. Juni 2002 betreffen Konstellationen, in denen sich die Gründer ihre Kapitaleinlage nach erfolgter Gesellschaftsgründung wieder auszahlen liessen, ohne dass damit eine ihnen gegenüber bestehende Schuld der Gesellschaft getilgt worden wäre. Im Urteil 6S.213/1998 vom 19. Juni 2000 ging es sodann um einen Sachverhalt, in welchem die Gesellschaft mit den Mitteln, die ihr aus der Barliberierung zugeflossen sind, bloss fiktive Gesellschaftsschulden bezahlt hat, ohne dass dadurch Fremdkapital reduziert worden wäre (vgl. insb. E. 5a/bb in fine). Dies verkennt die Beschwerdeführerin, wenn sie dafür hält, im letztgenannten Urteil sei es um die Erfüllung einer "bestehenden Schuld der Gesellschaft" gegangen (insofern missverständlich auch Peter Böckli, Schweizer Aktienrecht, 4. Aufl., 2009, § 2 N 112 a). Entgegen ihrer Auffassung liegt keinem der zitierten Urteile ein Sachverhalt zugrunde, in dem mit der Zahlung an die Aktionäre Fremdkapital zurückgeführt worden wäre, wie dies im vorliegend zu beurteilenden Fall geschehen ist. Die Vorinstanz hat damit zutreffend darauf hingewiesen, dass sich aus der strafrechtlichen Rechtsprechung nichts zugunsten der Beschwerdeführerin ableiten lässt.</w:t>
      </w:r>
    </w:p>
    <w:p>
      <w:r>
        <w:rPr>
          <w:b/>
        </w:rPr>
        <w:t>E. 3</w:t>
      </w:r>
    </w:p>
    <w:p>
      <w:r>
        <w:t>Die Beschwerdeführerin macht weiter geltend, der Verwaltungsrat der X.________ AG habe mit der Zahlung an die beiden Aktionäre nicht nur gegen Art. 680 Abs. 2 OR , sondern auch gegen seine Sanierungspflichten bei Kapitalverlust und Überschuldung sowie seine Treuepflicht verstossen. Denn entgegen der Auffassung der Vorinstanz habe der Verwaltungsrat Ende 2000 nicht von einer ernsthaften Verbesserung der wirtschaftlichen Situation der X.________ AG ausgehen dürfen. Vielmehr habe sich die Gesellschaft nach der Kapitalerhöhung nicht nur im Zustand eines Kapitalverlusts ( Art. 725 Abs. 1 OR ), sondern mindestens in der Nähe der Überschuldung ( Art. 725 Abs. 2 OR ) befunden. In einer solchen Situation stelle gemäss dem Urteil des Bundesgerichts 5C.29/2000 vom 19. September 2000 E. 4 jede bevorzugte Befriedigung eines Gläubigers eine Pflichtverletzung dar.</w:t>
      </w:r>
    </w:p>
    <w:p>
      <w:r>
        <w:rPr>
          <w:b/>
        </w:rPr>
        <w:t>E. 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Die Beschwerdeführerin, welche die Sachverhaltsfeststellungen der Vorinstanz anfechten will, kann sich nicht damit begnügen, den bestrittenen Feststellungen eigene tatsächliche Behauptungen gegenüberzustellen oder darzulegen, wie die Beweise ihrer Ansicht nach zu würdigen gewesen wären. Vielmehr hat sie klar und substanziiert aufzuzeigen, inwiefern die gerügten Feststellungen bzw. die Unterlassung von Feststellungen offensichtlich unrichtig sind oder auf einer Rechtsverletzung im Sinne von Art. 95 BGG beruhen. Soweit die Beschwerdeführerin den Sachverhalt ergänzen will, hat sie zudem mit detaillierten Aktenhinweisen darzulegen, dass sie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w:t>
      </w:r>
    </w:p>
    <w:p>
      <w:r>
        <w:rPr>
          <w:b/>
        </w:rPr>
        <w:t>E. 3.2</w:t>
      </w:r>
    </w:p>
    <w:p>
      <w:r>
        <w:t>Diese Grundsätze verkennt die Beschwerdeführerin, wenn sie zur Begründung ihrer Rüge über mehrere Seiten hinweg und in freier Ergänzung des vorinstanzlich festgestellten Sachverhalts die angeblich "bereits im Vorverfahren dargelegte finanzielle Situation der X.________ AG nach der Kapitalerhöhung" wiederholt, ohne dabei auch nur im Ansatz substanziierte Sachverhaltsrügen vorzutragen. Zwar wirft sie der Vorinstanz im Zusammenhang mit der Frage, ob der Verwaltungsrat Ende 2000 von einer wirtschaftlichen Verbesserung ausgehen durfte, ausdrücklich eine willkürliche Sachverhaltsfeststellung vor, verweist dazu aber lediglich pauschal auf im kantonalen Verfahren produzierte Beweismittel, ohne im Einzelnen darzulegen, inwiefern die von der Vorinstanz gezogenen Schlüsse nicht nur unrichtig, sondern geradezu willkürlich sein sollen. Ihre Ausführungen zur finanziellen Situation der X.________ AG nach der Kapitalerhöhung erschöpfen sich in einer Darstellung der eigenen Sicht der Dinge bzw. in einer appellatorischen Kritik, welche den Begründungsanforderungen an Sachverhaltsrügen nicht genügt. Darauf ist nicht einzutreten.</w:t>
      </w:r>
    </w:p>
    <w:p>
      <w:r>
        <w:rPr>
          <w:b/>
        </w:rPr>
        <w:t>E. 3.3</w:t>
      </w:r>
    </w:p>
    <w:p>
      <w:r>
        <w:t>Gemäss den tatsächlichen Feststellungen der Vorinstanz lagen im Zeitpunkt der Tilgung der beiden Forderungen am 6. Dezember 2000 Anzeichen vor, welche auf eine positive Entwicklung der Gesellschaft schliessen liessen: So räumte ein vom 3. November 2000 datierender Bericht eines Beratungsunternehmens der Gesellschaft gute Überlebenschancen ein, falls weitere Sanierungsprojekte an die Hand genommen würden. Dieser Bericht stellte die Grundlage für die Vereinbarung mit den Banken im November 2000 dar. Weiter ging auch der Finanzchef der Gesellschaft in seinem Kurzkommentar zum Monatsabschluss November 2000 davon aus, eine positive Entwicklung im Jahr 2001 - insbesondere wegen höherer Liquidität - liege durchaus im Bereich des Möglichen. Gestützt darauf sowie aufgrund der ersten vollzogenen Sanierungsmassnahme, der Firmenentflechtung, und der unmittelbar anschliessend vollzogenen zweiten Sanierungsmassnahme, der Kapitalerhöhung im mit den Banken ausgehandelten Ausmass, durfte der Verwaltungsrat gemäss der Vorinstanz zum Zeitpunkt der Tilgung der beiden Forderungen am 6. Dezember 2000 ohne Weiteres mit der Fortführung der Gesellschaft rechnen. Ende des Jahres 2000 durfte die Gesellschaft gemäss der Vorinstanz schliesslich von einer ernsthaften Verbesserung ihrer wirtschaftlichen Lage ausgehen, einerseits durch Leistungen aus eigener Kraft, andererseits durch die Mithilfe der beteiligten Gläubigerbanken und eines allfälligen Investors. Dass nach der Kapitalerhöhung eine praktisch aussichtslose wirtschaftliche Situation vorgelegen haben sollte, welche in Anlehnung an das von der Beschwerdeführerin angerufene Urteil 5C.29/2000 vom 19. September 2000, E. 4b/aa, eine Bilanzierung zu Liquidationswerten geboten hätte und in welcher jede bevorzugte Befriedigung eines Gläubigers grundsätzlich eine Pflichtverletzung darstellen würde, ergibt sich aus den vorinstanzlichen Sachverhaltsfeststellungen nicht. Schliesslich lag bei einer Rechnungslegung zu Fortführungswerten per Ende Dezember 2000 keine Überschuldung der Gesellschaft vor, womit auch nicht ersichtlich ist, inwiefern der Verwaltungsrat gegen die Pflicht zur Überschuldungsanzeige gemäss Art. 725 OR verstossen haben sollte.</w:t>
      </w:r>
    </w:p>
    <w:p>
      <w:r>
        <w:rPr>
          <w:b/>
        </w:rPr>
        <w:t>E. 3.4</w:t>
      </w:r>
    </w:p>
    <w:p>
      <w:r>
        <w:t>Als unbegründet erweist sich schliesslich auch die Rüge, C.________ sel. und der Beschwerdegegner 2 hätten mit den Zahlungen vom 6. Dezember 2000 eigene Interessen bzw. solche der durch sie beherrschten G.________ AG verfolgt und damit gegen die Treuepflicht gemäss Art. 717 Abs. 1 OR verstossen. Mit den Zahlungen vom 6. Dezember 2000 wurden bestehende und bereits in Betreibung gesetzte Forderungen erfüllt. Gemäss dem vorinstanzlich festgestellten Sachverhalt handelte es sich dabei denn auch um Sanierungsmassnahmen, die mit den kreditgebenden Banken abgesprochen waren. Unter diesen Umständen ist nicht ersichtlich und wird auch von der Beschwerdeführerin nicht weiter dargetan, inwiefern es im Gesellschaftsinteresse gestanden hätte, mit der Erfüllung dieser Forderungen zuzuwarten. Eine Verletzung der Treuepflicht ist nicht auszumachen.</w:t>
      </w:r>
    </w:p>
    <w:p>
      <w:r>
        <w:rPr>
          <w:b/>
        </w:rPr>
        <w:t>E. 4</w:t>
      </w:r>
    </w:p>
    <w:p>
      <w:r>
        <w:t>Damit erweist sich die Beschwerde als unbegründet. Sie ist abzuweisen, soweit darauf einzutreten ist. Dem Ausgang des Verfahrens entsprechend wird die Beschwerdeführerin kosten- und entschädigungspflichtig ( Art. 66 Abs. 1 und Art. 68 Abs. 2 BGG ). Da die Beschwerdegegner sich beide haben vernehmen lassen und durch unterschiedliche Anwälte vertreten sind, steht ihnen je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