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4A_495/2025 vom 12. November 2025</w:t>
      </w:r>
    </w:p>
    <w:p>
      <w:r>
        <w:t>Bundesgericht, 2025-11-12, DE</w:t>
      </w:r>
    </w:p>
    <w:p>
      <w:r>
        <w:rPr>
          <w:b/>
        </w:rPr>
        <w:t xml:space="preserve">Quelle: </w:t>
      </w:r>
      <w:r>
        <w:t>https://mcp.opencaselaw.ch/entscheid/bger_4A_495_2025</w:t>
      </w:r>
    </w:p>
    <w:p>
      <w:r>
        <w:t>FR: TF 4A_495/2025 du 12 novembre 2025</w:t>
      </w:r>
    </w:p>
    <w:p>
      <w:r>
        <w:t>IT: TF 4A_495/2025 del 12 novembre 2025</w:t>
      </w:r>
    </w:p>
    <w:p>
      <w:pPr>
        <w:pStyle w:val="Heading2"/>
      </w:pPr>
      <w:r>
        <w:t>Erwägungen</w:t>
      </w:r>
    </w:p>
    <w:p>
      <w:r>
        <w:rPr>
          <w:b/>
        </w:rPr>
        <w:t>E. 1</w:t>
      </w:r>
    </w:p>
    <w:p>
      <w:r>
        <w:t>Mit Entscheid vom 25. August 2025 erteilte das Regionalgericht Landquart der Beschwerdegegnerin gegen den Beschwerdeführer in der Betreibung Nr. xxx des Betreibungsamtes der U.________ für den Betrag von Fr. 11'200.-- zzgl. Zins die definitive Rechtsöffnung. Dagegen erhob der Beschwerdeführer Beschwerde an das Obergericht des Kantons Graubünden. Mit Verfügung vom 18. September 2025 wies das Obergericht das Gesuch des Beschwerdeführers um aufschiebende Wirkung mit der Begründung ab, es liege kein genügender Nachteil für deren Erteilung vor. Mit Verfügung vom 18. September 2025 wies das Obergericht zudem die Gesuche des Beschwerdeführers um unentgeltliche Rechtspflege und um Prozesskostenvorschuss zufolge Verletzung der Mitwirkungspflicht und fehlender Glaubhaftmachung der Mittellosigkeit ab. Dagegen erhebt der Beschwerdeführer mit Eingabe vom 3. Oktober 2025 Beschwerde in Zivilsachen an das Bundesgericht.</w:t>
      </w:r>
    </w:p>
    <w:p>
      <w:r>
        <w:t>Mit Präsidialverfügung vom 9. Oktober 2025 wies das Bundesgericht das Gesuch des Beschwerdeführers um Erteilung der aufschiebenden Wirkung ab.</w:t>
      </w:r>
    </w:p>
    <w:p>
      <w:r>
        <w:t>Es wurden keine Vernehmlassungen eingeholt.</w:t>
      </w:r>
    </w:p>
    <w:p>
      <w:r>
        <w:rPr>
          <w:b/>
        </w:rPr>
        <w:t>E. 2</w:t>
      </w:r>
    </w:p>
    <w:p>
      <w:r>
        <w:t>Das Bundesgericht prüft von Amtes wegen und mit freier Kognition, ob ein Rechtsmittel zulässig ist ( Art. 29 Abs. 1 BGG ; BGE 149 III 277 E. 3.1 mit Hinweisen).</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begründet nicht hinreichend, dass sich eine Rechtsfrage von grundsätzlicher Bedeutung stellt.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2.4</w:t>
      </w:r>
    </w:p>
    <w:p>
      <w:r>
        <w:t>Die Eingabe des Beschwerdeführers vom 3. Oktober 2025 erfüllt die genannten Begründungsanforderungen offensichtlich nicht. Er erwähnt zwar namentlich das Verbot des überspitzten Formalismus, das Willkürverbot, den verfassungsmässigen Anspruch auf ein faires Verfahren und auf rechtliches Gehör und beruft sich auf eine Diskriminierung sowie auf eine Verletzung der Kinderrechtskonvention. Er zeigt jedoch nicht unter Bezugnahme auf die Erwägungen in den angefochtenen Verfügungen auf, inwiefern die Vorinstanz diese verletzt haben soll. Vielmehr unterbreitet er dem Bundesgericht in unzulässiger Weise seine eigene Sicht der Dinge zu "amtlichen Nullveranlagungen" als Beweis seiner Bedürftigkeit und zum drohenden Verlust seiner Familienwohnung und moniert pauschal eine Diskriminierung von Mittellosen, ohne sich dabei mit der Begründung der angefochtenen Verfügungen auseinanderzusetzen. Damit verfehlt er die gesetzlichen Begründungsanforderungen.</w:t>
      </w:r>
    </w:p>
    <w:p>
      <w:r>
        <w:t>Auf die Beschwerde ist somit mangels hinreichender Begründung nicht einzutreten ( Art. 108 Abs. 1 lit. b BGG ).</w:t>
      </w:r>
    </w:p>
    <w:p>
      <w:r>
        <w:rPr>
          <w:b/>
        </w:rPr>
        <w:t>E. 3</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dem Beschwerdeführer aufzuerlegen ( Art. 66 Abs. 1 BGG ). Die Beschwerdegegnerin hat keinen Anspruch auf eine Parteientschädigung, da ihr aus dem bundesgerichtlichen Verfahren kein entschädigungspflichtiger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