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495/2020 vom 3. Mai 2021</w:t>
      </w:r>
    </w:p>
    <w:p>
      <w:r>
        <w:t>Bundesgericht, 2021-05-03, FR</w:t>
      </w:r>
    </w:p>
    <w:p>
      <w:r>
        <w:rPr>
          <w:b/>
        </w:rPr>
        <w:t xml:space="preserve">Quelle: </w:t>
      </w:r>
      <w:r>
        <w:t>https://mcp.opencaselaw.ch/entscheid/bger_4A_495_2020</w:t>
      </w:r>
    </w:p>
    <w:p>
      <w:r>
        <w:t>FR: TF 4A 495/2020 du 3 mai 2021</w:t>
      </w:r>
    </w:p>
    <w:p>
      <w:r>
        <w:t>IT: TF 4A 495/2020 del 3 maggio 2021</w:t>
      </w:r>
    </w:p>
    <w:p>
      <w:pPr>
        <w:pStyle w:val="Heading2"/>
      </w:pPr>
      <w:r>
        <w:t>Regeste</w:t>
      </w:r>
    </w:p>
    <w:p>
      <w:r>
        <w:t>responsabilité du propriétaire d'ouvrage (art. 58 CO); prescription (art. 60 al. 1 CO), | Assurance responsabilité civile</w:t>
      </w:r>
    </w:p>
    <w:p>
      <w:pPr>
        <w:pStyle w:val="Heading2"/>
      </w:pPr>
      <w:r>
        <w:t>Erwägungen</w:t>
      </w:r>
    </w:p>
    <w:p>
      <w:r>
        <w:rPr>
          <w:b/>
        </w:rPr>
        <w:t>E. 1</w:t>
      </w:r>
    </w:p>
    <w:p>
      <w:r>
        <w:t>Interjeté dans le délai fixé par la loi ( art. 100 al. 1 LTF ) et dirigé contre une décision finale ( art. 90 LTF ) rendue sur appel par le tribunal supérieur du canton de Vaud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Reste litigieuse, à ce stade, la question de savoir si les prétentions du recourant à l'endroit de l'intimée sont prescrites. En substance, le recourant reproche à la cour cantonale d'avoir retenu que tel était le cas et fait valoir une violation de l' art. 60 al. 1 CO .</w:t>
      </w:r>
    </w:p>
    <w:p>
      <w:r>
        <w:rPr>
          <w:b/>
        </w:rPr>
        <w:t>E. 3.1</w:t>
      </w:r>
    </w:p>
    <w:p>
      <w:r>
        <w:t>Aux termes de l'art. 60 al. 1 aCO, dans sa teneur applicable en l'espèce (cf. art. 49 al. 1 Tit. fin. CC ), l'action en réparation du dommage résultant d'un acte illicite se prescrit par un an à compter du jour où la partie lésée a eu connaissance du dommage ainsi que de la personne qui en est l'auteur, et, dans tous les cas, par dix ans dès le jour où le fait dommageable s'est produit.</w:t>
      </w:r>
    </w:p>
    <w:p>
      <w:r>
        <w:rPr>
          <w:b/>
        </w:rPr>
        <w:t>E. 3.2</w:t>
      </w:r>
    </w:p>
    <w:p>
      <w:r>
        <w:t>Le délai relatif d'un an exige que le lésé ait connaissance du dommage et de son auteur. Seule la condition de la connaissance du dommage est litigieuse en l'espèce.</w:t>
      </w:r>
    </w:p>
    <w:p>
      <w:r>
        <w:rPr>
          <w:b/>
        </w:rPr>
        <w:t>E. 3.2.1</w:t>
      </w:r>
    </w:p>
    <w:p>
      <w:r>
        <w:t>Selon la jurisprudence, le lésé connaît suffisamment le dommage lorsqu'il apprend, touchant son existence, sa nature et ses éléments, les circonstances propres à fonder et à motiver une demande en justice ( ATF 136 III 322 consid. 4.1; 131 III 61 consid. 3.1.1; arrêt 4A_576/2010 du 7 juin 2011 consid. 3.2 et les arrêts cités, non publié in ATF 137 III 352 ). Le lésé n'est pas admis à différer sa demande jusqu'au moment où il connaît le montant absolument exact de son préjudice, car le dommage peut devoir être estimé selon l' art. 42 al. 2 CO ( ATF 131 III 61 consid. 3.1.1; 114 II 253 consid. 2a; 111 II 55 consid. 3a; arrêt 4A_362/2020 du 22 janvier 2021 consid. 4.1.1). Ainsi, le dommage est suffisamment défini lorsque le lésé détient assez d'éléments pour qu'il soit en mesure de l'apprécier ( ATF 111 II 55 consid. 3a; 109 II 433 consid. 2; arrêt 4A_499/2014 du 28 janvier 2015 consid. 3.2). Le lésé est en mesure de motiver sa demande lorsqu'il connaît le montant réel (maximal) de son dommage. Il lui est en effet toujours loisible de réduire en tout temps ses conclusions en cours d'instance ( art. 227 al. 3 CPC ; arrêt 4A_509/2015 du 11 février 2016 consid. 3.2), s'il se révèle que sa demande était trop élevée ( ATF 74 II 30 consid. 1c), en particulier s'il est parvenu à diminuer le dommage (arrêts 4A_362/2020 précité consid. 4.1.1; 4A_135/2017 du 23 novembre 2017 consid. 5.1). Le délai de l' art. 60 al. 1 CO part du moment où le lésé a effectivement connaissance du dommage au sens indiqué ci-dessus, et non de celui où il aurait pu découvrir l'importance de sa créance en faisant preuve de l'attention commandée par les circonstances ( ATF 136 III 322 consid. 4.1; 111 II 55 consid. 3a). Cette jurisprudence ne va cependant pas jusqu'à protéger celui qui se désintéresse de la question du dommage. Le lésé est tenu d'avoir un comportement conforme à la bonne foi ( art. 2 CC ); s'il connaît les éléments essentiels du dommage, on peut attendre de lui qu'il se procure les informations nécessaires à l'ouverture d'une action ( ATF 109 II 433 consid. 2; arrêt 4A_362/2020 précité consid. 4.1.1 et les arrêts cités).</w:t>
      </w:r>
    </w:p>
    <w:p>
      <w:r>
        <w:rPr>
          <w:b/>
        </w:rPr>
        <w:t>E. 3.2.2</w:t>
      </w:r>
    </w:p>
    <w:p>
      <w:r>
        <w:t>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 ATF 112 II 118 consid. 4; 108 Ib 97 consid. 1c; 92 II 1 consid. 3; arrêts 4A_376/2019 du 18 février 2020 consid. 3.1 et les arrêts cités; 4A_499/2014 précité consid. 3.2; 4A_576/2010 du 7 juin 2011 consid. 3.2, non publié in ATF 137 III 352 ). En particulier, la connaissance du dommage résultant d'une invalidité permanente suppose que, selon un expert, l'état de santé du lésé soit stabilisé sur le plan médical et que son taux d'incapacité de travail soit fixé au moins approximativement; le lésé doit en outre savoir, sur la base des rapports médicaux, quelle peut être l'évolution de son état (arrêt 4A_499/2014 précité consid. 3.2 et les arrêts cités).</w:t>
      </w:r>
    </w:p>
    <w:p>
      <w:r>
        <w:rPr>
          <w:b/>
        </w:rPr>
        <w:t>E. 3.2.3</w:t>
      </w:r>
    </w:p>
    <w:p>
      <w:r>
        <w:t>Vu la brièveté du délai, on ne saurait se montrer trop exigeant à l'égard du lésé. Le doute quant à l'existence de faits suffisants pour motiver une demande en justice doit être interprété au préjudice du responsable soulevant l'exception de prescription, qui supporte le fardeau de la preuve ( ATF 111 II 55 consid. 3a; arrêt 4A_286/2018 du 5 décembre 2018 consid. 2.3.1 et l'arrêt cité).</w:t>
      </w:r>
    </w:p>
    <w:p>
      <w:r>
        <w:rPr>
          <w:b/>
        </w:rPr>
        <w:t>E. 3.3</w:t>
      </w:r>
    </w:p>
    <w:p>
      <w:r>
        <w:t>En l'espèce, la cour cantonale a relevé que le second accident s'était déroulé le 2 avril 2014, que le demandeur était allé se faire ausculter, à tout le moins, les 2, 8 et 11 avril 2014, que le Dr D.________, dans son rapport du 13 juin 2014, avait indiqué qu'il pensait que le demandeur aurait du mal à reprendre une activité professionnelle manuelle et qu'une reconversion professionnelle serait à considérer, et que le demandeur a déposé une demande de rente auprès de l'assurance-invalidité le 11 juillet 2014. Sur cette base, elle a considéré qu'au mois de juillet 2014, la situation du demandeur était certes encore évolutive, mais seulement s'agissant des thérapies envisageables et non de sa capacité de travail; on pouvait déduire des avis médicaux une incapacité de travail totale dans les activités manutentionnaires et une nécessaire reconversion dès le 13 juin 2014. Cette date-ci constitue dès lors le dies a quo , dans la mesure où le demandeur ne pouvait pas attendre de connaître précisément ses possibilités de reconversion pour agir en justice, ce que confirme du reste le fait que la pièce que le demandeur a offerte, pour preuve de son incapacité totale et durable de travail qu'il subissait dans la profession pour laquelle il avait été formé, était précisément le rapport du 13 juin 2014. Partant, c'est en raison de l'inaction fautive du demandeur que la prescription était déjà acquise le 3 septembre 2015, soit à la date à laquelle la défenderesse a renoncé, pour autant qu'elle ne fût pas déjà acquise, à se prévaloir de la prescription.</w:t>
      </w:r>
    </w:p>
    <w:p>
      <w:r>
        <w:rPr>
          <w:b/>
        </w:rPr>
        <w:t>E. 3.4</w:t>
      </w:r>
    </w:p>
    <w:p>
      <w:r>
        <w:t>Le recourant allègue, premièrement, que c'est à juste titre que la cour cantonale a retenu que sa situation était encore évolutive en juillet 2014 mais soutient que l'évolution concernait non seulement les thérapies envisageables mais encore les atteintes à sa santé; la stabilisation de son état de santé n'était alors pas acquise et n'est intervenue qu'en novembre 2016 au plus tôt. Deuxièmement, il conteste la lecture du rapport du 13 juin 2014 effectuée par l'autorité précédente. Il fait notamment valoir que le Dr D.________ ne faisait que partager ses doutes quant à la reprise d'une activité professionnelle manuelle, sans se déterminer sur sa capacité de travail pour une activité adaptée. Or, selon le recourant, qui invoque l'arrêt 4A_376/2019 du 18 février 2020, le délai de prescription ne commence à courir que dès le moment où le lésé connaît non seulement le taux de son incapacité de travail dans son activité habituelle, mais encore le taux de celle-ci dans une activité adaptée afin de pouvoir évaluer, même approximativement, son taux d'invalidité. Ceci n'est intervenu qu'en juin 2017, lorsque l'Office de l'assurance-invalidité a estimé que son aptitude au travail était nulle, même dans une activité adaptée. Troisièmement, le moment du dépôt de la demande de prestations à l'assurance-invalidité le 11 juillet 2014 n'est, selon lui, pas non plus déterminant, dans la mesure où ledit dépôt ne lui permet pas d'" améliorer sa connaissance effective du dommage ", l'instruction médicale ne débute qu'après ledit dépôt, l'assuré ne dispose en général que de peu d'informations lors du dépôt de sa demande et celui-ci avait, au vu des art. 28 al. 1 let. b et 29 al. 1 LAI, principalement pour but de sauvegarder ses droits à d'éventuelles prestations.</w:t>
      </w:r>
    </w:p>
    <w:p>
      <w:r>
        <w:rPr>
          <w:b/>
        </w:rPr>
        <w:t>E. 3.5</w:t>
      </w:r>
    </w:p>
    <w:p>
      <w:r>
        <w:t>Le raisonnement du recourant ne saurait être suivi.</w:t>
      </w:r>
    </w:p>
    <w:p>
      <w:r>
        <w:rPr>
          <w:b/>
        </w:rPr>
        <w:t>E. 3.5.1</w:t>
      </w:r>
    </w:p>
    <w:p>
      <w:r>
        <w:t>Lorsqu'il conteste la lecture faite par l'autorité précédente du rapport du Dr D.________ et allègue que les atteintes à sa santé étaient encore en évolution et que son état de santé ne s'est stabilisé qu'en novembre 2016 au plus tôt, le recourant se contente de substituer son appréciation des preuves à celle effectuée par la cour cantonale. Dans une critique de nature essentiellement appellatoire, il n'invoque toutefois pas la violation de l' art. 9 Cst. ni ne démontre, ou du moins pas suffisamment (cf. supra consid. 2.1), en quoi ladite appréciation serait arbitraire, de sorte qu'elle lie la Cour de céans. Il ressort ainsi des constatations factuelles liant le Tribunal fédéral que le recourant était en incapacité totale de travailler dans des activités manutentionnaires depuis le 13 juin 2014 et que, en juillet 2014, seule la situation relative aux thérapies envisageables était évolutive, tandis que sa capacité de travail n'était plus sujette à évolution (cf. supra consid. 3.3).</w:t>
      </w:r>
    </w:p>
    <w:p>
      <w:r>
        <w:rPr>
          <w:b/>
        </w:rPr>
        <w:t>E. 3.5.2</w:t>
      </w:r>
    </w:p>
    <w:p>
      <w:r>
        <w:t>En juillet 2014 au plus tard, l'état de santé du recourant était donc stabilisé et celui-ci savait que sa capacité de travail dans son activité habituelle était nulle et qu'il devait envisager une reconversion professionnelle. Il se devait donc de se procurer les informations nécessaires à l'ouverture d'une action. L'arrêt 4A_376/2019 précité ne lui est d'aucun secours, dans la mesure où il ne saurait en être déduit de manière absolue que le délai de prescription relatif ne commencerait à courir qu'à partir du moment où la capacité de travail dans une activité adaptée est déterminée. Par ailleurs, le recourant aurait aisément pu interrompre la prescription, par exemple en sollicitant de l'intimée qu'elle renonce à se prévaloir de l'exception de prescription ou en ouvrant directement action contre celle-ci. C'est donc tardivement qu'il a contacté l'intimée le 31 août 2015 pour qu'elle renonce à se prévaloir de la prescription, soit environ 17 mois après le second accident, 14,5 mois après le rapport médical du Dr D.________ et 13,5 mois après le dépôt de sa demande à l'assurance-invalidité.</w:t>
      </w:r>
    </w:p>
    <w:p>
      <w:r>
        <w:rPr>
          <w:b/>
        </w:rPr>
        <w:t>E. 3.5.3</w:t>
      </w:r>
    </w:p>
    <w:p>
      <w:r>
        <w:t>La question de savoir si le délai de prescription a commencé à courir le 13 juin 2014, comme l'a retenu la cour cantonale, ou en juillet 2014, comme l'avait considéré la Chambre patrimoniale, peut demeurer indécise, dans la mesure où elle n'influe pas sur l'issue du litige. C'est ainsi à bon droit que la cour cantonale a retenu que la prescription était déjà acquise lorsque la défenderesse a renoncé à s'en prévaloir le 3 septembre 2015. Il s'ensuit que le grief doit être rejeté, dans la mesure où il est recevable, et qu'il n'est donc pas nécessaire d'examiner les autres griefs du recourant, relatifs au défaut de l'ouvrage et au lien de causalité entre le second accident et son dommage.</w:t>
      </w:r>
    </w:p>
    <w:p>
      <w:r>
        <w:rPr>
          <w:b/>
        </w:rPr>
        <w:t>E. 4</w:t>
      </w:r>
    </w:p>
    <w:p>
      <w:r>
        <w:t>Au vu de ce qui précède, le recours doit être rejeté, dans la mesure où il est recevable. Le recours étant manifestement dépourvu de chances de succès, l'une des conditions pour l'octroi de l'assistance judiciaire n'est pas remplie ( art. 64 al. 1 LTF ). Il convient dès lors de rejeter la demande d'assistance judiciaire du recourant, sur laquelle il n'était par ailleurs pas nécessaire de se prononcer préalablement au vu des circonstances du cas d'espèce (cf. arrêt 4A_20/2011 du 11 avril 2011 consid. 7.2.2). Les frais judiciaires seront mis à la charge du recourant ( art. 66 al. 1 LTF ). Dans la mesure où l'intimée et la partie intéressée n'ont pas été invitées à se déterminer, il ne leur sera pas accordé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